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5A4F0" w14:textId="041ED98F" w:rsidR="00B83DF5" w:rsidRPr="0098647E" w:rsidRDefault="00B83DF5" w:rsidP="00902398">
      <w:pPr>
        <w:spacing w:line="360" w:lineRule="auto"/>
        <w:jc w:val="center"/>
        <w:rPr>
          <w:rFonts w:ascii="Times New Roman" w:hAnsi="Times New Roman" w:cs="Times New Roman"/>
          <w:b/>
          <w:bCs/>
          <w:sz w:val="32"/>
          <w:szCs w:val="32"/>
        </w:rPr>
      </w:pPr>
      <w:r w:rsidRPr="0098647E">
        <w:rPr>
          <w:rFonts w:ascii="Times New Roman" w:hAnsi="Times New Roman" w:cs="Times New Roman"/>
          <w:b/>
          <w:bCs/>
          <w:sz w:val="32"/>
          <w:szCs w:val="32"/>
        </w:rPr>
        <w:t xml:space="preserve">MỐI LIÊN QUAN GIỮA TÌNH TRẠNG BỘC LỘ </w:t>
      </w:r>
      <w:r w:rsidR="00077B4C" w:rsidRPr="0098647E">
        <w:rPr>
          <w:rFonts w:ascii="Times New Roman" w:hAnsi="Times New Roman" w:cs="Times New Roman"/>
          <w:b/>
          <w:bCs/>
          <w:sz w:val="32"/>
          <w:szCs w:val="32"/>
        </w:rPr>
        <w:t>HER2</w:t>
      </w:r>
      <w:r w:rsidRPr="0098647E">
        <w:rPr>
          <w:rFonts w:ascii="Times New Roman" w:hAnsi="Times New Roman" w:cs="Times New Roman"/>
          <w:b/>
          <w:bCs/>
          <w:sz w:val="32"/>
          <w:szCs w:val="32"/>
        </w:rPr>
        <w:t xml:space="preserve"> VÀ XÂM NHẬP LYMPHO MÔ U VỚI ĐẶC ĐIỂM LÂM SÀNG, CẬN LÂM SÀNG VÀ GIÁ TRỊ TIÊN TƯỢNG TRONG UNG THƯ VÚ THỂ BỘ BA ÂM TÍNH GIAI ĐOẠN SỚM TẠI BỆNH VIỆN K</w:t>
      </w:r>
    </w:p>
    <w:p w14:paraId="38455F1C" w14:textId="77777777" w:rsidR="00B83DF5" w:rsidRPr="0098647E" w:rsidRDefault="00B83DF5" w:rsidP="00902398">
      <w:pPr>
        <w:spacing w:line="360" w:lineRule="auto"/>
        <w:rPr>
          <w:position w:val="8"/>
          <w:sz w:val="24"/>
          <w:szCs w:val="24"/>
        </w:rPr>
      </w:pPr>
      <w:r w:rsidRPr="0098647E">
        <w:rPr>
          <w:rFonts w:ascii="Times New Roman" w:hAnsi="Times New Roman" w:cs="Times New Roman"/>
          <w:i/>
          <w:iCs/>
          <w:sz w:val="24"/>
          <w:szCs w:val="24"/>
        </w:rPr>
        <w:t>Phùng Thị Huyền, Nguyễn Thị Hòa, Hoàng Thị Hoài, Nguyễn Thanh Long</w:t>
      </w:r>
      <w:r w:rsidRPr="0098647E">
        <w:rPr>
          <w:rFonts w:ascii="Times New Roman" w:hAnsi="Times New Roman" w:cs="Times New Roman"/>
          <w:i/>
          <w:iCs/>
          <w:sz w:val="24"/>
          <w:szCs w:val="24"/>
          <w:vertAlign w:val="superscript"/>
        </w:rPr>
        <w:t>1</w:t>
      </w:r>
      <w:r w:rsidRPr="0098647E">
        <w:rPr>
          <w:rFonts w:ascii="Times New Roman" w:hAnsi="Times New Roman" w:cs="Times New Roman"/>
          <w:b/>
          <w:bCs/>
          <w:i/>
          <w:iCs/>
          <w:sz w:val="24"/>
          <w:szCs w:val="24"/>
        </w:rPr>
        <w:t xml:space="preserve">, </w:t>
      </w:r>
      <w:r w:rsidRPr="0098647E">
        <w:rPr>
          <w:rFonts w:ascii="Times New Roman" w:hAnsi="Times New Roman" w:cs="Times New Roman"/>
          <w:i/>
          <w:iCs/>
          <w:sz w:val="24"/>
          <w:szCs w:val="24"/>
        </w:rPr>
        <w:t>Nguyễn Đình Thạch</w:t>
      </w:r>
      <w:r w:rsidRPr="0098647E">
        <w:rPr>
          <w:rFonts w:ascii="Times New Roman" w:hAnsi="Times New Roman" w:cs="Times New Roman"/>
          <w:i/>
          <w:iCs/>
          <w:sz w:val="24"/>
          <w:szCs w:val="24"/>
          <w:vertAlign w:val="superscript"/>
        </w:rPr>
        <w:t>2</w:t>
      </w:r>
    </w:p>
    <w:p w14:paraId="585E796E" w14:textId="77777777" w:rsidR="00B83DF5" w:rsidRPr="0098647E" w:rsidRDefault="00B83DF5" w:rsidP="00902398">
      <w:pPr>
        <w:spacing w:line="360" w:lineRule="auto"/>
        <w:jc w:val="right"/>
        <w:rPr>
          <w:rFonts w:ascii="Times New Roman" w:hAnsi="Times New Roman" w:cs="Times New Roman"/>
          <w:i/>
          <w:iCs/>
          <w:sz w:val="24"/>
          <w:szCs w:val="24"/>
        </w:rPr>
      </w:pPr>
      <w:r w:rsidRPr="0098647E">
        <w:rPr>
          <w:position w:val="8"/>
          <w:sz w:val="24"/>
          <w:szCs w:val="24"/>
        </w:rPr>
        <w:t>1</w:t>
      </w:r>
      <w:r w:rsidRPr="0098647E">
        <w:rPr>
          <w:rFonts w:ascii="Times New Roman" w:hAnsi="Times New Roman" w:cs="Times New Roman"/>
          <w:i/>
          <w:iCs/>
          <w:sz w:val="24"/>
          <w:szCs w:val="24"/>
        </w:rPr>
        <w:t>Khoa nội 6, Bệnh viện K</w:t>
      </w:r>
    </w:p>
    <w:p w14:paraId="3B655D02" w14:textId="77777777" w:rsidR="00B83DF5" w:rsidRPr="0098647E" w:rsidRDefault="00B83DF5" w:rsidP="00902398">
      <w:pPr>
        <w:spacing w:line="360" w:lineRule="auto"/>
        <w:jc w:val="right"/>
        <w:rPr>
          <w:rFonts w:ascii="Times New Roman" w:hAnsi="Times New Roman" w:cs="Times New Roman"/>
          <w:i/>
          <w:iCs/>
          <w:sz w:val="24"/>
          <w:szCs w:val="24"/>
        </w:rPr>
      </w:pPr>
      <w:r w:rsidRPr="0098647E">
        <w:rPr>
          <w:rFonts w:ascii="Times New Roman" w:hAnsi="Times New Roman" w:cs="Times New Roman"/>
          <w:bCs/>
          <w:i/>
          <w:iCs/>
          <w:sz w:val="24"/>
          <w:szCs w:val="24"/>
          <w:vertAlign w:val="superscript"/>
        </w:rPr>
        <w:t>2</w:t>
      </w:r>
      <w:r w:rsidRPr="0098647E">
        <w:rPr>
          <w:rFonts w:ascii="Times New Roman" w:hAnsi="Times New Roman" w:cs="Times New Roman"/>
          <w:bCs/>
          <w:i/>
          <w:iCs/>
          <w:sz w:val="24"/>
          <w:szCs w:val="24"/>
        </w:rPr>
        <w:t>Khoa Giải phẫu bệnh, Bệnh viện K</w:t>
      </w:r>
    </w:p>
    <w:p w14:paraId="3AADECB8" w14:textId="0DE9BB30" w:rsidR="00B83DF5" w:rsidRPr="0098647E" w:rsidRDefault="00B83DF5" w:rsidP="00902398">
      <w:pPr>
        <w:spacing w:line="360" w:lineRule="auto"/>
        <w:jc w:val="both"/>
        <w:rPr>
          <w:rFonts w:ascii="Times New Roman" w:hAnsi="Times New Roman" w:cs="Times New Roman"/>
          <w:sz w:val="24"/>
          <w:szCs w:val="24"/>
        </w:rPr>
      </w:pPr>
      <w:r w:rsidRPr="0098647E">
        <w:rPr>
          <w:rFonts w:ascii="Times New Roman" w:hAnsi="Times New Roman" w:cs="Times New Roman"/>
          <w:b/>
          <w:sz w:val="24"/>
          <w:szCs w:val="24"/>
        </w:rPr>
        <w:t>Mục tiêu</w:t>
      </w:r>
      <w:r w:rsidRPr="0098647E">
        <w:rPr>
          <w:rFonts w:ascii="Times New Roman" w:hAnsi="Times New Roman" w:cs="Times New Roman"/>
          <w:sz w:val="24"/>
          <w:szCs w:val="24"/>
        </w:rPr>
        <w:t xml:space="preserve">: Ảnh hưởng của bộc lộ </w:t>
      </w:r>
      <w:r w:rsidR="00077B4C" w:rsidRPr="0098647E">
        <w:rPr>
          <w:rFonts w:ascii="Times New Roman" w:hAnsi="Times New Roman" w:cs="Times New Roman"/>
          <w:sz w:val="24"/>
          <w:szCs w:val="24"/>
        </w:rPr>
        <w:t>HER2</w:t>
      </w:r>
      <w:r w:rsidRPr="0098647E">
        <w:rPr>
          <w:rFonts w:ascii="Times New Roman" w:hAnsi="Times New Roman" w:cs="Times New Roman"/>
          <w:sz w:val="24"/>
          <w:szCs w:val="24"/>
        </w:rPr>
        <w:t xml:space="preserve"> thấp và xâm nhập lympho mô u lên các đặc điểm lâm sàng  của khối u và giá trị tiên lượng trong ung thư vú bộ ba âm tính giai đoạn sớm chưa rõ ràng</w:t>
      </w:r>
      <w:r w:rsidR="002068FF">
        <w:rPr>
          <w:rFonts w:ascii="Times New Roman" w:hAnsi="Times New Roman" w:cs="Times New Roman"/>
          <w:sz w:val="24"/>
          <w:szCs w:val="24"/>
        </w:rPr>
        <w:t>.</w:t>
      </w:r>
      <w:r w:rsidRPr="0098647E">
        <w:rPr>
          <w:rFonts w:ascii="Times New Roman" w:hAnsi="Times New Roman" w:cs="Times New Roman"/>
          <w:sz w:val="24"/>
          <w:szCs w:val="24"/>
        </w:rPr>
        <w:t xml:space="preserve"> Mục tiêu của nghiên cứu này nhằm đánh giá </w:t>
      </w:r>
      <w:r w:rsidR="008D7794" w:rsidRPr="0098647E">
        <w:rPr>
          <w:rFonts w:ascii="Times New Roman" w:hAnsi="Times New Roman" w:cs="Times New Roman"/>
          <w:sz w:val="24"/>
          <w:szCs w:val="24"/>
        </w:rPr>
        <w:t>mối liên quan của các yếu tố trên với đặc điểm lâm sàng, cận lâm sàng và giá trị tiên lượng</w:t>
      </w:r>
      <w:r w:rsidRPr="0098647E">
        <w:rPr>
          <w:rFonts w:ascii="Times New Roman" w:hAnsi="Times New Roman" w:cs="Times New Roman"/>
          <w:sz w:val="24"/>
          <w:szCs w:val="24"/>
        </w:rPr>
        <w:t xml:space="preserve"> trên nhóm bệnh nhân ung thư vú bộ ba âm tính giai đoạn sớm</w:t>
      </w:r>
      <w:r w:rsidR="0098647E">
        <w:rPr>
          <w:rFonts w:ascii="Times New Roman" w:hAnsi="Times New Roman" w:cs="Times New Roman"/>
          <w:sz w:val="24"/>
          <w:szCs w:val="24"/>
        </w:rPr>
        <w:t>,</w:t>
      </w:r>
    </w:p>
    <w:p w14:paraId="3D5F2443" w14:textId="545D0E6D" w:rsidR="00B83DF5" w:rsidRPr="0098647E" w:rsidRDefault="00B83DF5" w:rsidP="00902398">
      <w:pPr>
        <w:spacing w:line="360" w:lineRule="auto"/>
        <w:jc w:val="both"/>
        <w:rPr>
          <w:rFonts w:ascii="Times New Roman" w:hAnsi="Times New Roman" w:cs="Times New Roman"/>
          <w:sz w:val="24"/>
          <w:szCs w:val="24"/>
        </w:rPr>
      </w:pPr>
      <w:r w:rsidRPr="0098647E">
        <w:rPr>
          <w:rFonts w:ascii="Times New Roman" w:hAnsi="Times New Roman" w:cs="Times New Roman"/>
          <w:b/>
          <w:sz w:val="24"/>
          <w:szCs w:val="24"/>
        </w:rPr>
        <w:t>Phương pháp</w:t>
      </w:r>
      <w:r w:rsidRPr="0098647E">
        <w:rPr>
          <w:rFonts w:ascii="Times New Roman" w:hAnsi="Times New Roman" w:cs="Times New Roman"/>
          <w:sz w:val="24"/>
          <w:szCs w:val="24"/>
        </w:rPr>
        <w:t>: Nghiên cứu hồi cứu được thực hiện trên 126 bệnh nhân chẩn đoán ung thư vú bộ ba âm tính giai đoạn chưa di căn trên bệnh phẩm phẫu thuật tại Bệnh viện K từ tháng 1 năm 2018 đến tháng 12 năm 2019</w:t>
      </w:r>
      <w:r w:rsidR="002068FF">
        <w:rPr>
          <w:rFonts w:ascii="Times New Roman" w:hAnsi="Times New Roman" w:cs="Times New Roman"/>
          <w:sz w:val="24"/>
          <w:szCs w:val="24"/>
        </w:rPr>
        <w:t>.</w:t>
      </w:r>
      <w:r w:rsidRPr="0098647E">
        <w:rPr>
          <w:rFonts w:ascii="Times New Roman" w:hAnsi="Times New Roman" w:cs="Times New Roman"/>
          <w:sz w:val="24"/>
          <w:szCs w:val="24"/>
        </w:rPr>
        <w:t xml:space="preserve"> Biểu hiện </w:t>
      </w:r>
      <w:r w:rsidR="00077B4C" w:rsidRPr="0098647E">
        <w:rPr>
          <w:rFonts w:ascii="Times New Roman" w:hAnsi="Times New Roman" w:cs="Times New Roman"/>
          <w:sz w:val="24"/>
          <w:szCs w:val="24"/>
        </w:rPr>
        <w:t>HER2</w:t>
      </w:r>
      <w:r w:rsidRPr="0098647E">
        <w:rPr>
          <w:rFonts w:ascii="Times New Roman" w:hAnsi="Times New Roman" w:cs="Times New Roman"/>
          <w:sz w:val="24"/>
          <w:szCs w:val="24"/>
        </w:rPr>
        <w:t xml:space="preserve"> được đánh giá theo hướng dẫn của ASCO/CAP năm 2018</w:t>
      </w:r>
      <w:r w:rsidR="002068FF">
        <w:rPr>
          <w:rFonts w:ascii="Times New Roman" w:hAnsi="Times New Roman" w:cs="Times New Roman"/>
          <w:sz w:val="24"/>
          <w:szCs w:val="24"/>
        </w:rPr>
        <w:t>.</w:t>
      </w:r>
      <w:r w:rsidRPr="0098647E">
        <w:rPr>
          <w:rFonts w:ascii="Times New Roman" w:hAnsi="Times New Roman" w:cs="Times New Roman"/>
          <w:sz w:val="24"/>
          <w:szCs w:val="24"/>
        </w:rPr>
        <w:t xml:space="preserve"> Xâm nhập lympho mô u (TILs) được đánh giá dựa trên hướng dẫn của Nhóm nghiên cứu quốc tế về TILs năm 2014, sử dụng ngưỡng phân chia là 40%</w:t>
      </w:r>
      <w:r w:rsidR="002068FF">
        <w:rPr>
          <w:rFonts w:ascii="Times New Roman" w:hAnsi="Times New Roman" w:cs="Times New Roman"/>
          <w:sz w:val="24"/>
          <w:szCs w:val="24"/>
        </w:rPr>
        <w:t>.</w:t>
      </w:r>
    </w:p>
    <w:p w14:paraId="05FEFAE1" w14:textId="6986B7DF" w:rsidR="00B83DF5" w:rsidRPr="0098647E" w:rsidRDefault="00B83DF5" w:rsidP="00902398">
      <w:pPr>
        <w:spacing w:line="360" w:lineRule="auto"/>
        <w:jc w:val="both"/>
        <w:rPr>
          <w:rFonts w:ascii="Times New Roman" w:hAnsi="Times New Roman" w:cs="Times New Roman"/>
          <w:sz w:val="24"/>
          <w:szCs w:val="24"/>
        </w:rPr>
      </w:pPr>
      <w:r w:rsidRPr="0098647E">
        <w:rPr>
          <w:rFonts w:ascii="Times New Roman" w:hAnsi="Times New Roman" w:cs="Times New Roman"/>
          <w:b/>
          <w:sz w:val="24"/>
          <w:szCs w:val="24"/>
        </w:rPr>
        <w:t>Kết quả</w:t>
      </w:r>
      <w:r w:rsidRPr="0098647E">
        <w:rPr>
          <w:rFonts w:ascii="Times New Roman" w:hAnsi="Times New Roman" w:cs="Times New Roman"/>
          <w:sz w:val="24"/>
          <w:szCs w:val="24"/>
        </w:rPr>
        <w:t xml:space="preserve">: Nghiên cứu của chúng tôi thực hiện trên 126 bệnh nhân, tuổi trung bình là 54,7±11,4 tuổi, 74,6% bệnh nhân có </w:t>
      </w:r>
      <w:r w:rsidR="00077B4C" w:rsidRPr="0098647E">
        <w:rPr>
          <w:rFonts w:ascii="Times New Roman" w:hAnsi="Times New Roman" w:cs="Times New Roman"/>
          <w:sz w:val="24"/>
          <w:szCs w:val="24"/>
        </w:rPr>
        <w:t>HER2</w:t>
      </w:r>
      <w:r w:rsidRPr="0098647E">
        <w:rPr>
          <w:rFonts w:ascii="Times New Roman" w:hAnsi="Times New Roman" w:cs="Times New Roman"/>
          <w:sz w:val="24"/>
          <w:szCs w:val="24"/>
        </w:rPr>
        <w:t xml:space="preserve"> âm tính và 25,4% có bộc lộ </w:t>
      </w:r>
      <w:r w:rsidR="00077B4C" w:rsidRPr="0098647E">
        <w:rPr>
          <w:rFonts w:ascii="Times New Roman" w:hAnsi="Times New Roman" w:cs="Times New Roman"/>
          <w:sz w:val="24"/>
          <w:szCs w:val="24"/>
        </w:rPr>
        <w:t>HER2</w:t>
      </w:r>
      <w:r w:rsidRPr="0098647E">
        <w:rPr>
          <w:rFonts w:ascii="Times New Roman" w:hAnsi="Times New Roman" w:cs="Times New Roman"/>
          <w:sz w:val="24"/>
          <w:szCs w:val="24"/>
        </w:rPr>
        <w:t>-thấp (</w:t>
      </w:r>
      <w:r w:rsidR="00077B4C" w:rsidRPr="0098647E">
        <w:rPr>
          <w:rFonts w:ascii="Times New Roman" w:hAnsi="Times New Roman" w:cs="Times New Roman"/>
          <w:sz w:val="24"/>
          <w:szCs w:val="24"/>
        </w:rPr>
        <w:t>HER2</w:t>
      </w:r>
      <w:r w:rsidRPr="0098647E">
        <w:rPr>
          <w:rFonts w:ascii="Times New Roman" w:hAnsi="Times New Roman" w:cs="Times New Roman"/>
          <w:sz w:val="24"/>
          <w:szCs w:val="24"/>
        </w:rPr>
        <w:t xml:space="preserve"> 1+ trên HMMD hoặc HER 2+ trên HMMD và kết quả Dual-ISH hoặc FISH âm tính)</w:t>
      </w:r>
      <w:r w:rsidR="002068FF">
        <w:rPr>
          <w:rFonts w:ascii="Times New Roman" w:hAnsi="Times New Roman" w:cs="Times New Roman"/>
          <w:sz w:val="24"/>
          <w:szCs w:val="24"/>
        </w:rPr>
        <w:t xml:space="preserve">. </w:t>
      </w:r>
      <w:r w:rsidRPr="0098647E">
        <w:rPr>
          <w:rFonts w:ascii="Times New Roman" w:hAnsi="Times New Roman" w:cs="Times New Roman"/>
          <w:sz w:val="24"/>
          <w:szCs w:val="24"/>
        </w:rPr>
        <w:t xml:space="preserve">So với các BN </w:t>
      </w:r>
      <w:r w:rsidR="00077B4C" w:rsidRPr="0098647E">
        <w:rPr>
          <w:rFonts w:ascii="Times New Roman" w:hAnsi="Times New Roman" w:cs="Times New Roman"/>
          <w:sz w:val="24"/>
          <w:szCs w:val="24"/>
        </w:rPr>
        <w:t>HER2</w:t>
      </w:r>
      <w:r w:rsidRPr="0098647E">
        <w:rPr>
          <w:rFonts w:ascii="Times New Roman" w:hAnsi="Times New Roman" w:cs="Times New Roman"/>
          <w:sz w:val="24"/>
          <w:szCs w:val="24"/>
        </w:rPr>
        <w:t xml:space="preserve"> âm tính, các BN có bộc lộ </w:t>
      </w:r>
      <w:r w:rsidR="00077B4C" w:rsidRPr="0098647E">
        <w:rPr>
          <w:rFonts w:ascii="Times New Roman" w:hAnsi="Times New Roman" w:cs="Times New Roman"/>
          <w:sz w:val="24"/>
          <w:szCs w:val="24"/>
        </w:rPr>
        <w:t>HER2</w:t>
      </w:r>
      <w:r w:rsidRPr="0098647E">
        <w:rPr>
          <w:rFonts w:ascii="Times New Roman" w:hAnsi="Times New Roman" w:cs="Times New Roman"/>
          <w:sz w:val="24"/>
          <w:szCs w:val="24"/>
        </w:rPr>
        <w:t xml:space="preserve"> thấp có tuổi cao hơn (p=0,02), Ki67 thấp hơn (p=0,05), và TILs thấp hơn (p=0,005)</w:t>
      </w:r>
      <w:r w:rsidR="002068FF">
        <w:rPr>
          <w:rFonts w:ascii="Times New Roman" w:hAnsi="Times New Roman" w:cs="Times New Roman"/>
          <w:sz w:val="24"/>
          <w:szCs w:val="24"/>
        </w:rPr>
        <w:t>.</w:t>
      </w:r>
      <w:r w:rsidRPr="0098647E">
        <w:rPr>
          <w:rFonts w:ascii="Times New Roman" w:hAnsi="Times New Roman" w:cs="Times New Roman"/>
          <w:sz w:val="24"/>
          <w:szCs w:val="24"/>
        </w:rPr>
        <w:t xml:space="preserve"> Thời gian theo dõi trung bình là 54 tháng, phân tích đơn biến cho thấy bệnh nhân với khối u bộc lộ </w:t>
      </w:r>
      <w:r w:rsidR="00077B4C" w:rsidRPr="0098647E">
        <w:rPr>
          <w:rFonts w:ascii="Times New Roman" w:hAnsi="Times New Roman" w:cs="Times New Roman"/>
          <w:sz w:val="24"/>
          <w:szCs w:val="24"/>
        </w:rPr>
        <w:t>HER2</w:t>
      </w:r>
      <w:r w:rsidRPr="0098647E">
        <w:rPr>
          <w:rFonts w:ascii="Times New Roman" w:hAnsi="Times New Roman" w:cs="Times New Roman"/>
          <w:sz w:val="24"/>
          <w:szCs w:val="24"/>
        </w:rPr>
        <w:t xml:space="preserve"> thấp có tỷ lệ sống thêm toàn bộ 5 năm (OS) thấp hơn so với những bệnh nhân có </w:t>
      </w:r>
      <w:r w:rsidR="00077B4C" w:rsidRPr="0098647E">
        <w:rPr>
          <w:rFonts w:ascii="Times New Roman" w:hAnsi="Times New Roman" w:cs="Times New Roman"/>
          <w:sz w:val="24"/>
          <w:szCs w:val="24"/>
        </w:rPr>
        <w:t>HER2</w:t>
      </w:r>
      <w:r w:rsidRPr="0098647E">
        <w:rPr>
          <w:rFonts w:ascii="Times New Roman" w:hAnsi="Times New Roman" w:cs="Times New Roman"/>
          <w:sz w:val="24"/>
          <w:szCs w:val="24"/>
        </w:rPr>
        <w:t xml:space="preserve"> âm tính (83,3% so với 69,6%, p=0,04)</w:t>
      </w:r>
      <w:r w:rsidR="002068FF">
        <w:rPr>
          <w:rFonts w:ascii="Times New Roman" w:hAnsi="Times New Roman" w:cs="Times New Roman"/>
          <w:sz w:val="24"/>
          <w:szCs w:val="24"/>
        </w:rPr>
        <w:t xml:space="preserve">. </w:t>
      </w:r>
      <w:r w:rsidRPr="0098647E">
        <w:rPr>
          <w:rFonts w:ascii="Times New Roman" w:hAnsi="Times New Roman" w:cs="Times New Roman"/>
          <w:sz w:val="24"/>
          <w:szCs w:val="24"/>
        </w:rPr>
        <w:t xml:space="preserve">Tuy nhiên, trong phân tích đa biến, biểu hiện </w:t>
      </w:r>
      <w:r w:rsidR="00077B4C" w:rsidRPr="0098647E">
        <w:rPr>
          <w:rFonts w:ascii="Times New Roman" w:hAnsi="Times New Roman" w:cs="Times New Roman"/>
          <w:sz w:val="24"/>
          <w:szCs w:val="24"/>
        </w:rPr>
        <w:t>HER2</w:t>
      </w:r>
      <w:r w:rsidRPr="0098647E">
        <w:rPr>
          <w:rFonts w:ascii="Times New Roman" w:hAnsi="Times New Roman" w:cs="Times New Roman"/>
          <w:sz w:val="24"/>
          <w:szCs w:val="24"/>
        </w:rPr>
        <w:t xml:space="preserve"> không cho thấy mối quan hệ có ý nghĩa thống kê với OS</w:t>
      </w:r>
      <w:r w:rsidR="002068FF">
        <w:rPr>
          <w:rFonts w:ascii="Times New Roman" w:hAnsi="Times New Roman" w:cs="Times New Roman"/>
          <w:sz w:val="24"/>
          <w:szCs w:val="24"/>
        </w:rPr>
        <w:t>.</w:t>
      </w:r>
      <w:r w:rsidRPr="0098647E">
        <w:rPr>
          <w:rFonts w:ascii="Times New Roman" w:hAnsi="Times New Roman" w:cs="Times New Roman"/>
          <w:sz w:val="24"/>
          <w:szCs w:val="24"/>
        </w:rPr>
        <w:t xml:space="preserve"> Thay vào đó, các yếu tố tiên lượng độc lập của OS được xác định là TILs (p=0,02; HR=0,17; 95%CI 0,04-0,77) và tình trạng hạch di căn (p=0,002; HR=3,8; 95%CI 1,6-9,1)</w:t>
      </w:r>
      <w:r w:rsidR="002068FF">
        <w:rPr>
          <w:rFonts w:ascii="Times New Roman" w:hAnsi="Times New Roman" w:cs="Times New Roman"/>
          <w:sz w:val="24"/>
          <w:szCs w:val="24"/>
        </w:rPr>
        <w:t>.</w:t>
      </w:r>
    </w:p>
    <w:p w14:paraId="21EB49BB" w14:textId="3B5642C9" w:rsidR="00B83DF5" w:rsidRPr="0098647E" w:rsidRDefault="00B83DF5" w:rsidP="00902398">
      <w:pPr>
        <w:spacing w:line="360" w:lineRule="auto"/>
        <w:jc w:val="both"/>
        <w:rPr>
          <w:rFonts w:ascii="Times New Roman" w:hAnsi="Times New Roman" w:cs="Times New Roman"/>
          <w:sz w:val="24"/>
          <w:szCs w:val="24"/>
        </w:rPr>
      </w:pPr>
      <w:r w:rsidRPr="0098647E">
        <w:rPr>
          <w:rFonts w:ascii="Times New Roman" w:hAnsi="Times New Roman" w:cs="Times New Roman"/>
          <w:b/>
          <w:sz w:val="24"/>
          <w:szCs w:val="24"/>
        </w:rPr>
        <w:lastRenderedPageBreak/>
        <w:t>Kết luận</w:t>
      </w:r>
      <w:r w:rsidRPr="0098647E">
        <w:rPr>
          <w:rFonts w:ascii="Times New Roman" w:hAnsi="Times New Roman" w:cs="Times New Roman"/>
          <w:sz w:val="24"/>
          <w:szCs w:val="24"/>
        </w:rPr>
        <w:t xml:space="preserve">: Nghiên cứu này gợi ý rằng biểu hiện </w:t>
      </w:r>
      <w:r w:rsidR="00077B4C" w:rsidRPr="0098647E">
        <w:rPr>
          <w:rFonts w:ascii="Times New Roman" w:hAnsi="Times New Roman" w:cs="Times New Roman"/>
          <w:sz w:val="24"/>
          <w:szCs w:val="24"/>
        </w:rPr>
        <w:t>HER2</w:t>
      </w:r>
      <w:r w:rsidRPr="0098647E">
        <w:rPr>
          <w:rFonts w:ascii="Times New Roman" w:hAnsi="Times New Roman" w:cs="Times New Roman"/>
          <w:sz w:val="24"/>
          <w:szCs w:val="24"/>
        </w:rPr>
        <w:t xml:space="preserve">-thấp có liên quan đến phản ứng miễn dịch trong u thấp hơn và </w:t>
      </w:r>
      <w:r w:rsidR="008D7794" w:rsidRPr="0098647E">
        <w:rPr>
          <w:rFonts w:ascii="Times New Roman" w:hAnsi="Times New Roman" w:cs="Times New Roman"/>
          <w:sz w:val="24"/>
          <w:szCs w:val="24"/>
        </w:rPr>
        <w:t>thời gian sống thêm ngắn hơn</w:t>
      </w:r>
      <w:r w:rsidRPr="0098647E">
        <w:rPr>
          <w:rFonts w:ascii="Times New Roman" w:hAnsi="Times New Roman" w:cs="Times New Roman"/>
          <w:sz w:val="24"/>
          <w:szCs w:val="24"/>
        </w:rPr>
        <w:t xml:space="preserve"> ở bệnh nhân ung thư vú bộ ba âm tính giai đoạn sớm so với nhóm </w:t>
      </w:r>
      <w:r w:rsidR="00077B4C" w:rsidRPr="0098647E">
        <w:rPr>
          <w:rFonts w:ascii="Times New Roman" w:hAnsi="Times New Roman" w:cs="Times New Roman"/>
          <w:sz w:val="24"/>
          <w:szCs w:val="24"/>
        </w:rPr>
        <w:t>HER2</w:t>
      </w:r>
      <w:r w:rsidRPr="0098647E">
        <w:rPr>
          <w:rFonts w:ascii="Times New Roman" w:hAnsi="Times New Roman" w:cs="Times New Roman"/>
          <w:sz w:val="24"/>
          <w:szCs w:val="24"/>
        </w:rPr>
        <w:t xml:space="preserve"> âm tính</w:t>
      </w:r>
      <w:r w:rsidR="002068FF">
        <w:rPr>
          <w:rFonts w:ascii="Times New Roman" w:hAnsi="Times New Roman" w:cs="Times New Roman"/>
          <w:sz w:val="24"/>
          <w:szCs w:val="24"/>
        </w:rPr>
        <w:t>.</w:t>
      </w:r>
      <w:r w:rsidRPr="0098647E">
        <w:rPr>
          <w:rFonts w:ascii="Times New Roman" w:hAnsi="Times New Roman" w:cs="Times New Roman"/>
          <w:sz w:val="24"/>
          <w:szCs w:val="24"/>
        </w:rPr>
        <w:t xml:space="preserve"> Cần thêm những nghiên cứu tiếp theo đánh giá về giá trị tiên lượng và các chiến lược điều trị mới nhằm cải thiện tiên lượng cho nhóm bệnh nhân bộ ba âm tính có bộc lộ </w:t>
      </w:r>
      <w:r w:rsidR="00077B4C" w:rsidRPr="0098647E">
        <w:rPr>
          <w:rFonts w:ascii="Times New Roman" w:hAnsi="Times New Roman" w:cs="Times New Roman"/>
          <w:sz w:val="24"/>
          <w:szCs w:val="24"/>
        </w:rPr>
        <w:t>HER2</w:t>
      </w:r>
      <w:r w:rsidRPr="0098647E">
        <w:rPr>
          <w:rFonts w:ascii="Times New Roman" w:hAnsi="Times New Roman" w:cs="Times New Roman"/>
          <w:sz w:val="24"/>
          <w:szCs w:val="24"/>
        </w:rPr>
        <w:t>-thấp</w:t>
      </w:r>
      <w:r w:rsidR="002068FF">
        <w:rPr>
          <w:rFonts w:ascii="Times New Roman" w:hAnsi="Times New Roman" w:cs="Times New Roman"/>
          <w:sz w:val="24"/>
          <w:szCs w:val="24"/>
        </w:rPr>
        <w:t>.</w:t>
      </w:r>
    </w:p>
    <w:p w14:paraId="5A78430E" w14:textId="77777777" w:rsidR="00B83DF5" w:rsidRPr="0098647E" w:rsidRDefault="00B83DF5" w:rsidP="00902398">
      <w:pPr>
        <w:spacing w:line="360" w:lineRule="auto"/>
        <w:jc w:val="both"/>
        <w:rPr>
          <w:rFonts w:ascii="Times New Roman" w:hAnsi="Times New Roman" w:cs="Times New Roman"/>
          <w:sz w:val="24"/>
          <w:szCs w:val="24"/>
        </w:rPr>
      </w:pPr>
    </w:p>
    <w:p w14:paraId="52B14BCC" w14:textId="3D0B10F0" w:rsidR="00B83DF5" w:rsidRPr="0098647E" w:rsidRDefault="00B83DF5" w:rsidP="00902398">
      <w:pPr>
        <w:spacing w:line="360" w:lineRule="auto"/>
        <w:jc w:val="both"/>
        <w:rPr>
          <w:rFonts w:ascii="Times New Roman" w:hAnsi="Times New Roman" w:cs="Times New Roman"/>
          <w:b/>
          <w:bCs/>
          <w:sz w:val="24"/>
          <w:szCs w:val="24"/>
        </w:rPr>
      </w:pPr>
      <w:r w:rsidRPr="0098647E">
        <w:rPr>
          <w:rFonts w:ascii="Times New Roman" w:hAnsi="Times New Roman" w:cs="Times New Roman"/>
          <w:b/>
          <w:bCs/>
          <w:sz w:val="28"/>
          <w:szCs w:val="28"/>
        </w:rPr>
        <w:t xml:space="preserve">CORRELATION BETWEEN </w:t>
      </w:r>
      <w:r w:rsidR="00077B4C" w:rsidRPr="0098647E">
        <w:rPr>
          <w:rFonts w:ascii="Times New Roman" w:hAnsi="Times New Roman" w:cs="Times New Roman"/>
          <w:b/>
          <w:bCs/>
          <w:sz w:val="28"/>
          <w:szCs w:val="28"/>
        </w:rPr>
        <w:t>HER2</w:t>
      </w:r>
      <w:r w:rsidRPr="0098647E">
        <w:rPr>
          <w:rFonts w:ascii="Times New Roman" w:hAnsi="Times New Roman" w:cs="Times New Roman"/>
          <w:b/>
          <w:bCs/>
          <w:sz w:val="28"/>
          <w:szCs w:val="28"/>
        </w:rPr>
        <w:t>-LOW EXPRESSION, TUMOR-INFILTRATING LYMPHOCYTE SCORES AND CLINICOPATHOLOGIC CHARACTERISTICS, AND ITS PROGNOSTIC VALUE IN EARLY-STAGE TRIPLE-NEGATIVE BREAST CANCER AT VIETNAM NATIONAL CANCER HOSPITAL</w:t>
      </w:r>
    </w:p>
    <w:p w14:paraId="76B5B789" w14:textId="79F4455C" w:rsidR="00B83DF5" w:rsidRPr="0098647E" w:rsidRDefault="00B83DF5" w:rsidP="00902398">
      <w:pPr>
        <w:spacing w:line="360" w:lineRule="auto"/>
        <w:jc w:val="both"/>
        <w:rPr>
          <w:rFonts w:ascii="Times New Roman" w:hAnsi="Times New Roman" w:cs="Times New Roman"/>
          <w:sz w:val="24"/>
          <w:szCs w:val="24"/>
        </w:rPr>
      </w:pPr>
      <w:r w:rsidRPr="0098647E">
        <w:rPr>
          <w:rFonts w:ascii="Times New Roman" w:hAnsi="Times New Roman" w:cs="Times New Roman"/>
          <w:b/>
          <w:bCs/>
          <w:sz w:val="24"/>
          <w:szCs w:val="24"/>
        </w:rPr>
        <w:t>Background</w:t>
      </w:r>
      <w:r w:rsidRPr="0098647E">
        <w:rPr>
          <w:rFonts w:ascii="Times New Roman" w:hAnsi="Times New Roman" w:cs="Times New Roman"/>
          <w:sz w:val="24"/>
          <w:szCs w:val="24"/>
        </w:rPr>
        <w:t xml:space="preserve">: </w:t>
      </w:r>
      <w:r w:rsidR="00077B4C" w:rsidRPr="0098647E">
        <w:rPr>
          <w:rFonts w:ascii="Times New Roman" w:hAnsi="Times New Roman" w:cs="Times New Roman"/>
          <w:sz w:val="24"/>
          <w:szCs w:val="24"/>
        </w:rPr>
        <w:t>HER2</w:t>
      </w:r>
      <w:r w:rsidRPr="0098647E">
        <w:rPr>
          <w:rFonts w:ascii="Times New Roman" w:hAnsi="Times New Roman" w:cs="Times New Roman"/>
          <w:sz w:val="24"/>
          <w:szCs w:val="24"/>
        </w:rPr>
        <w:t>-low expression and TILs impacts on clinical features and prognosis in early-stage triple-negative breast cancer (TNBC) remain unclear</w:t>
      </w:r>
      <w:r w:rsidR="002068FF">
        <w:rPr>
          <w:rFonts w:ascii="Times New Roman" w:hAnsi="Times New Roman" w:cs="Times New Roman"/>
          <w:sz w:val="24"/>
          <w:szCs w:val="24"/>
        </w:rPr>
        <w:t>.</w:t>
      </w:r>
      <w:r w:rsidRPr="0098647E">
        <w:rPr>
          <w:rFonts w:ascii="Times New Roman" w:hAnsi="Times New Roman" w:cs="Times New Roman"/>
          <w:sz w:val="24"/>
          <w:szCs w:val="24"/>
        </w:rPr>
        <w:t xml:space="preserve"> Our aim was to evaluate its prognostic value and correlation with clinicopathological characteristics in this population</w:t>
      </w:r>
      <w:r w:rsidR="002068FF">
        <w:rPr>
          <w:rFonts w:ascii="Times New Roman" w:hAnsi="Times New Roman" w:cs="Times New Roman"/>
          <w:sz w:val="24"/>
          <w:szCs w:val="24"/>
        </w:rPr>
        <w:t>.</w:t>
      </w:r>
    </w:p>
    <w:p w14:paraId="344EE839" w14:textId="7E20D882" w:rsidR="00B83DF5" w:rsidRPr="0098647E" w:rsidRDefault="00B83DF5" w:rsidP="00902398">
      <w:pPr>
        <w:spacing w:line="360" w:lineRule="auto"/>
        <w:jc w:val="both"/>
        <w:rPr>
          <w:rFonts w:ascii="Times New Roman" w:hAnsi="Times New Roman" w:cs="Times New Roman"/>
          <w:sz w:val="24"/>
          <w:szCs w:val="24"/>
        </w:rPr>
      </w:pPr>
      <w:r w:rsidRPr="0098647E">
        <w:rPr>
          <w:rFonts w:ascii="Times New Roman" w:hAnsi="Times New Roman" w:cs="Times New Roman"/>
          <w:b/>
          <w:bCs/>
          <w:sz w:val="24"/>
          <w:szCs w:val="24"/>
        </w:rPr>
        <w:t>Method</w:t>
      </w:r>
      <w:r w:rsidRPr="0098647E">
        <w:rPr>
          <w:rFonts w:ascii="Times New Roman" w:hAnsi="Times New Roman" w:cs="Times New Roman"/>
          <w:sz w:val="24"/>
          <w:szCs w:val="24"/>
        </w:rPr>
        <w:t>: A retrospective study of 126 patients with early-stage TNBC who did not undergo neoadjuvant systemic therapy in Vietnam National Cancer hospital from January 2018 to December 2019</w:t>
      </w:r>
      <w:r w:rsidR="0098647E">
        <w:rPr>
          <w:rFonts w:ascii="Times New Roman" w:hAnsi="Times New Roman" w:cs="Times New Roman"/>
          <w:sz w:val="24"/>
          <w:szCs w:val="24"/>
        </w:rPr>
        <w:t>,</w:t>
      </w:r>
      <w:r w:rsidRPr="0098647E">
        <w:rPr>
          <w:rFonts w:ascii="Times New Roman" w:hAnsi="Times New Roman" w:cs="Times New Roman"/>
          <w:sz w:val="24"/>
          <w:szCs w:val="24"/>
        </w:rPr>
        <w:t xml:space="preserve"> </w:t>
      </w:r>
      <w:r w:rsidR="00077B4C" w:rsidRPr="0098647E">
        <w:rPr>
          <w:rFonts w:ascii="Times New Roman" w:hAnsi="Times New Roman" w:cs="Times New Roman"/>
          <w:sz w:val="24"/>
          <w:szCs w:val="24"/>
        </w:rPr>
        <w:t>HER2</w:t>
      </w:r>
      <w:r w:rsidRPr="0098647E">
        <w:rPr>
          <w:rFonts w:ascii="Times New Roman" w:hAnsi="Times New Roman" w:cs="Times New Roman"/>
          <w:sz w:val="24"/>
          <w:szCs w:val="24"/>
        </w:rPr>
        <w:t xml:space="preserve"> expression was evaluated using the 2018 ASCO/CAP guidelines</w:t>
      </w:r>
      <w:r w:rsidR="0098647E">
        <w:rPr>
          <w:rFonts w:ascii="Times New Roman" w:hAnsi="Times New Roman" w:cs="Times New Roman"/>
          <w:sz w:val="24"/>
          <w:szCs w:val="24"/>
        </w:rPr>
        <w:t>,</w:t>
      </w:r>
      <w:r w:rsidRPr="0098647E">
        <w:rPr>
          <w:rFonts w:ascii="Times New Roman" w:hAnsi="Times New Roman" w:cs="Times New Roman"/>
          <w:sz w:val="24"/>
          <w:szCs w:val="24"/>
        </w:rPr>
        <w:t xml:space="preserve"> Tumor-infiltrating lymphocyte scores (TILs) assessment were assessed based on the guide of an international TILs research group in 2014, using 40% as the cut-off</w:t>
      </w:r>
      <w:r w:rsidR="002068FF">
        <w:rPr>
          <w:rFonts w:ascii="Times New Roman" w:hAnsi="Times New Roman" w:cs="Times New Roman"/>
          <w:sz w:val="24"/>
          <w:szCs w:val="24"/>
        </w:rPr>
        <w:t>.</w:t>
      </w:r>
    </w:p>
    <w:p w14:paraId="522FAA73" w14:textId="2EA80667" w:rsidR="00B83DF5" w:rsidRPr="0098647E" w:rsidRDefault="00B83DF5" w:rsidP="00902398">
      <w:pPr>
        <w:spacing w:line="360" w:lineRule="auto"/>
        <w:jc w:val="both"/>
        <w:rPr>
          <w:rFonts w:ascii="Times New Roman" w:hAnsi="Times New Roman" w:cs="Times New Roman"/>
          <w:sz w:val="24"/>
          <w:szCs w:val="24"/>
        </w:rPr>
      </w:pPr>
      <w:r w:rsidRPr="0098647E">
        <w:rPr>
          <w:rFonts w:ascii="Times New Roman" w:hAnsi="Times New Roman" w:cs="Times New Roman"/>
          <w:b/>
          <w:bCs/>
          <w:sz w:val="24"/>
          <w:szCs w:val="24"/>
        </w:rPr>
        <w:t>Results</w:t>
      </w:r>
      <w:r w:rsidRPr="0098647E">
        <w:rPr>
          <w:rFonts w:ascii="Times New Roman" w:hAnsi="Times New Roman" w:cs="Times New Roman"/>
          <w:sz w:val="24"/>
          <w:szCs w:val="24"/>
        </w:rPr>
        <w:t>: Among the 126 patients, with a median age of 54</w:t>
      </w:r>
      <w:r w:rsidR="0098647E">
        <w:rPr>
          <w:rFonts w:ascii="Times New Roman" w:hAnsi="Times New Roman" w:cs="Times New Roman"/>
          <w:sz w:val="24"/>
          <w:szCs w:val="24"/>
        </w:rPr>
        <w:t>,</w:t>
      </w:r>
      <w:r w:rsidRPr="0098647E">
        <w:rPr>
          <w:rFonts w:ascii="Times New Roman" w:hAnsi="Times New Roman" w:cs="Times New Roman"/>
          <w:sz w:val="24"/>
          <w:szCs w:val="24"/>
        </w:rPr>
        <w:t>7±11</w:t>
      </w:r>
      <w:r w:rsidR="0098647E">
        <w:rPr>
          <w:rFonts w:ascii="Times New Roman" w:hAnsi="Times New Roman" w:cs="Times New Roman"/>
          <w:sz w:val="24"/>
          <w:szCs w:val="24"/>
        </w:rPr>
        <w:t>,</w:t>
      </w:r>
      <w:r w:rsidRPr="0098647E">
        <w:rPr>
          <w:rFonts w:ascii="Times New Roman" w:hAnsi="Times New Roman" w:cs="Times New Roman"/>
          <w:sz w:val="24"/>
          <w:szCs w:val="24"/>
        </w:rPr>
        <w:t>4 years, 74</w:t>
      </w:r>
      <w:r w:rsidR="0098647E">
        <w:rPr>
          <w:rFonts w:ascii="Times New Roman" w:hAnsi="Times New Roman" w:cs="Times New Roman"/>
          <w:sz w:val="24"/>
          <w:szCs w:val="24"/>
        </w:rPr>
        <w:t>,</w:t>
      </w:r>
      <w:r w:rsidRPr="0098647E">
        <w:rPr>
          <w:rFonts w:ascii="Times New Roman" w:hAnsi="Times New Roman" w:cs="Times New Roman"/>
          <w:sz w:val="24"/>
          <w:szCs w:val="24"/>
        </w:rPr>
        <w:t xml:space="preserve">6% were </w:t>
      </w:r>
      <w:r w:rsidR="00077B4C" w:rsidRPr="0098647E">
        <w:rPr>
          <w:rFonts w:ascii="Times New Roman" w:hAnsi="Times New Roman" w:cs="Times New Roman"/>
          <w:sz w:val="24"/>
          <w:szCs w:val="24"/>
        </w:rPr>
        <w:t>HER2</w:t>
      </w:r>
      <w:r w:rsidR="00757F5F" w:rsidRPr="0098647E">
        <w:rPr>
          <w:rFonts w:ascii="Times New Roman" w:hAnsi="Times New Roman" w:cs="Times New Roman"/>
          <w:sz w:val="24"/>
          <w:szCs w:val="24"/>
        </w:rPr>
        <w:t>-0</w:t>
      </w:r>
      <w:r w:rsidRPr="0098647E">
        <w:rPr>
          <w:rFonts w:ascii="Times New Roman" w:hAnsi="Times New Roman" w:cs="Times New Roman"/>
          <w:sz w:val="24"/>
          <w:szCs w:val="24"/>
        </w:rPr>
        <w:t xml:space="preserve"> and 25</w:t>
      </w:r>
      <w:r w:rsidR="0098647E">
        <w:rPr>
          <w:rFonts w:ascii="Times New Roman" w:hAnsi="Times New Roman" w:cs="Times New Roman"/>
          <w:sz w:val="24"/>
          <w:szCs w:val="24"/>
        </w:rPr>
        <w:t>,</w:t>
      </w:r>
      <w:r w:rsidRPr="0098647E">
        <w:rPr>
          <w:rFonts w:ascii="Times New Roman" w:hAnsi="Times New Roman" w:cs="Times New Roman"/>
          <w:sz w:val="24"/>
          <w:szCs w:val="24"/>
        </w:rPr>
        <w:t xml:space="preserve">4% were </w:t>
      </w:r>
      <w:r w:rsidR="00077B4C" w:rsidRPr="0098647E">
        <w:rPr>
          <w:rFonts w:ascii="Times New Roman" w:hAnsi="Times New Roman" w:cs="Times New Roman"/>
          <w:sz w:val="24"/>
          <w:szCs w:val="24"/>
        </w:rPr>
        <w:t>HER2</w:t>
      </w:r>
      <w:r w:rsidRPr="0098647E">
        <w:rPr>
          <w:rFonts w:ascii="Times New Roman" w:hAnsi="Times New Roman" w:cs="Times New Roman"/>
          <w:sz w:val="24"/>
          <w:szCs w:val="24"/>
        </w:rPr>
        <w:t>-low</w:t>
      </w:r>
      <w:r w:rsidR="002068FF">
        <w:rPr>
          <w:rFonts w:ascii="Times New Roman" w:hAnsi="Times New Roman" w:cs="Times New Roman"/>
          <w:sz w:val="24"/>
          <w:szCs w:val="24"/>
        </w:rPr>
        <w:t>.</w:t>
      </w:r>
      <w:r w:rsidRPr="0098647E">
        <w:rPr>
          <w:rFonts w:ascii="Times New Roman" w:hAnsi="Times New Roman" w:cs="Times New Roman"/>
          <w:sz w:val="24"/>
          <w:szCs w:val="24"/>
        </w:rPr>
        <w:t xml:space="preserve"> Compared to </w:t>
      </w:r>
      <w:r w:rsidR="00077B4C" w:rsidRPr="0098647E">
        <w:rPr>
          <w:rFonts w:ascii="Times New Roman" w:hAnsi="Times New Roman" w:cs="Times New Roman"/>
          <w:sz w:val="24"/>
          <w:szCs w:val="24"/>
        </w:rPr>
        <w:t>HER2</w:t>
      </w:r>
      <w:r w:rsidR="00757F5F" w:rsidRPr="0098647E">
        <w:rPr>
          <w:rFonts w:ascii="Times New Roman" w:hAnsi="Times New Roman" w:cs="Times New Roman"/>
          <w:sz w:val="24"/>
          <w:szCs w:val="24"/>
        </w:rPr>
        <w:t>-0</w:t>
      </w:r>
      <w:r w:rsidRPr="0098647E">
        <w:rPr>
          <w:rFonts w:ascii="Times New Roman" w:hAnsi="Times New Roman" w:cs="Times New Roman"/>
          <w:sz w:val="24"/>
          <w:szCs w:val="24"/>
        </w:rPr>
        <w:t xml:space="preserve"> tumors, </w:t>
      </w:r>
      <w:r w:rsidR="00077B4C" w:rsidRPr="0098647E">
        <w:rPr>
          <w:rFonts w:ascii="Times New Roman" w:hAnsi="Times New Roman" w:cs="Times New Roman"/>
          <w:sz w:val="24"/>
          <w:szCs w:val="24"/>
        </w:rPr>
        <w:t>HER2</w:t>
      </w:r>
      <w:r w:rsidRPr="0098647E">
        <w:rPr>
          <w:rFonts w:ascii="Times New Roman" w:hAnsi="Times New Roman" w:cs="Times New Roman"/>
          <w:sz w:val="24"/>
          <w:szCs w:val="24"/>
        </w:rPr>
        <w:t>-low tumors were associated with higher age (p=0</w:t>
      </w:r>
      <w:r w:rsidR="0098647E">
        <w:rPr>
          <w:rFonts w:ascii="Times New Roman" w:hAnsi="Times New Roman" w:cs="Times New Roman"/>
          <w:sz w:val="24"/>
          <w:szCs w:val="24"/>
        </w:rPr>
        <w:t>,</w:t>
      </w:r>
      <w:r w:rsidRPr="0098647E">
        <w:rPr>
          <w:rFonts w:ascii="Times New Roman" w:hAnsi="Times New Roman" w:cs="Times New Roman"/>
          <w:sz w:val="24"/>
          <w:szCs w:val="24"/>
        </w:rPr>
        <w:t>02), lower Ki67 score (p=0</w:t>
      </w:r>
      <w:r w:rsidR="0098647E">
        <w:rPr>
          <w:rFonts w:ascii="Times New Roman" w:hAnsi="Times New Roman" w:cs="Times New Roman"/>
          <w:sz w:val="24"/>
          <w:szCs w:val="24"/>
        </w:rPr>
        <w:t>,</w:t>
      </w:r>
      <w:r w:rsidRPr="0098647E">
        <w:rPr>
          <w:rFonts w:ascii="Times New Roman" w:hAnsi="Times New Roman" w:cs="Times New Roman"/>
          <w:sz w:val="24"/>
          <w:szCs w:val="24"/>
        </w:rPr>
        <w:t>05), and lower tumor-infiltrating lymphocyte (p=0</w:t>
      </w:r>
      <w:r w:rsidR="0098647E">
        <w:rPr>
          <w:rFonts w:ascii="Times New Roman" w:hAnsi="Times New Roman" w:cs="Times New Roman"/>
          <w:sz w:val="24"/>
          <w:szCs w:val="24"/>
        </w:rPr>
        <w:t>,</w:t>
      </w:r>
      <w:r w:rsidRPr="0098647E">
        <w:rPr>
          <w:rFonts w:ascii="Times New Roman" w:hAnsi="Times New Roman" w:cs="Times New Roman"/>
          <w:sz w:val="24"/>
          <w:szCs w:val="24"/>
        </w:rPr>
        <w:t>005)</w:t>
      </w:r>
      <w:r w:rsidR="002068FF">
        <w:rPr>
          <w:rFonts w:ascii="Times New Roman" w:hAnsi="Times New Roman" w:cs="Times New Roman"/>
          <w:sz w:val="24"/>
          <w:szCs w:val="24"/>
        </w:rPr>
        <w:t>.</w:t>
      </w:r>
      <w:r w:rsidRPr="0098647E">
        <w:rPr>
          <w:rFonts w:ascii="Times New Roman" w:hAnsi="Times New Roman" w:cs="Times New Roman"/>
          <w:sz w:val="24"/>
          <w:szCs w:val="24"/>
        </w:rPr>
        <w:t xml:space="preserve"> During a median follow-up of 54 months, the univariate analysis revealed that patients with </w:t>
      </w:r>
      <w:r w:rsidR="00077B4C" w:rsidRPr="0098647E">
        <w:rPr>
          <w:rFonts w:ascii="Times New Roman" w:hAnsi="Times New Roman" w:cs="Times New Roman"/>
          <w:sz w:val="24"/>
          <w:szCs w:val="24"/>
        </w:rPr>
        <w:t>HER2</w:t>
      </w:r>
      <w:r w:rsidRPr="0098647E">
        <w:rPr>
          <w:rFonts w:ascii="Times New Roman" w:hAnsi="Times New Roman" w:cs="Times New Roman"/>
          <w:sz w:val="24"/>
          <w:szCs w:val="24"/>
        </w:rPr>
        <w:t xml:space="preserve">-low tumors had a worse overall survival (OS) compared to those with </w:t>
      </w:r>
      <w:r w:rsidR="00077B4C" w:rsidRPr="0098647E">
        <w:rPr>
          <w:rFonts w:ascii="Times New Roman" w:hAnsi="Times New Roman" w:cs="Times New Roman"/>
          <w:sz w:val="24"/>
          <w:szCs w:val="24"/>
        </w:rPr>
        <w:t>HER2</w:t>
      </w:r>
      <w:r w:rsidR="00757F5F" w:rsidRPr="0098647E">
        <w:rPr>
          <w:rFonts w:ascii="Times New Roman" w:hAnsi="Times New Roman" w:cs="Times New Roman"/>
          <w:sz w:val="24"/>
          <w:szCs w:val="24"/>
        </w:rPr>
        <w:t>-0</w:t>
      </w:r>
      <w:r w:rsidRPr="0098647E">
        <w:rPr>
          <w:rFonts w:ascii="Times New Roman" w:hAnsi="Times New Roman" w:cs="Times New Roman"/>
          <w:sz w:val="24"/>
          <w:szCs w:val="24"/>
        </w:rPr>
        <w:t xml:space="preserve"> tumors (83</w:t>
      </w:r>
      <w:r w:rsidR="0098647E">
        <w:rPr>
          <w:rFonts w:ascii="Times New Roman" w:hAnsi="Times New Roman" w:cs="Times New Roman"/>
          <w:sz w:val="24"/>
          <w:szCs w:val="24"/>
        </w:rPr>
        <w:t>,</w:t>
      </w:r>
      <w:r w:rsidRPr="0098647E">
        <w:rPr>
          <w:rFonts w:ascii="Times New Roman" w:hAnsi="Times New Roman" w:cs="Times New Roman"/>
          <w:sz w:val="24"/>
          <w:szCs w:val="24"/>
        </w:rPr>
        <w:t>3% vs</w:t>
      </w:r>
      <w:r w:rsidR="0098647E">
        <w:rPr>
          <w:rFonts w:ascii="Times New Roman" w:hAnsi="Times New Roman" w:cs="Times New Roman"/>
          <w:sz w:val="24"/>
          <w:szCs w:val="24"/>
        </w:rPr>
        <w:t>,</w:t>
      </w:r>
      <w:r w:rsidRPr="0098647E">
        <w:rPr>
          <w:rFonts w:ascii="Times New Roman" w:hAnsi="Times New Roman" w:cs="Times New Roman"/>
          <w:sz w:val="24"/>
          <w:szCs w:val="24"/>
        </w:rPr>
        <w:t xml:space="preserve"> 69</w:t>
      </w:r>
      <w:r w:rsidR="0098647E">
        <w:rPr>
          <w:rFonts w:ascii="Times New Roman" w:hAnsi="Times New Roman" w:cs="Times New Roman"/>
          <w:sz w:val="24"/>
          <w:szCs w:val="24"/>
        </w:rPr>
        <w:t>,</w:t>
      </w:r>
      <w:r w:rsidRPr="0098647E">
        <w:rPr>
          <w:rFonts w:ascii="Times New Roman" w:hAnsi="Times New Roman" w:cs="Times New Roman"/>
          <w:sz w:val="24"/>
          <w:szCs w:val="24"/>
        </w:rPr>
        <w:t>6%, p=0</w:t>
      </w:r>
      <w:r w:rsidR="0098647E">
        <w:rPr>
          <w:rFonts w:ascii="Times New Roman" w:hAnsi="Times New Roman" w:cs="Times New Roman"/>
          <w:sz w:val="24"/>
          <w:szCs w:val="24"/>
        </w:rPr>
        <w:t>,</w:t>
      </w:r>
      <w:r w:rsidRPr="0098647E">
        <w:rPr>
          <w:rFonts w:ascii="Times New Roman" w:hAnsi="Times New Roman" w:cs="Times New Roman"/>
          <w:sz w:val="24"/>
          <w:szCs w:val="24"/>
        </w:rPr>
        <w:t>04)</w:t>
      </w:r>
      <w:r w:rsidR="002068FF">
        <w:rPr>
          <w:rFonts w:ascii="Times New Roman" w:hAnsi="Times New Roman" w:cs="Times New Roman"/>
          <w:sz w:val="24"/>
          <w:szCs w:val="24"/>
        </w:rPr>
        <w:t>.</w:t>
      </w:r>
      <w:r w:rsidRPr="0098647E">
        <w:rPr>
          <w:rFonts w:ascii="Times New Roman" w:hAnsi="Times New Roman" w:cs="Times New Roman"/>
          <w:sz w:val="24"/>
          <w:szCs w:val="24"/>
        </w:rPr>
        <w:t xml:space="preserve"> However, in the multivariate analysis, </w:t>
      </w:r>
      <w:r w:rsidR="00077B4C" w:rsidRPr="0098647E">
        <w:rPr>
          <w:rFonts w:ascii="Times New Roman" w:hAnsi="Times New Roman" w:cs="Times New Roman"/>
          <w:sz w:val="24"/>
          <w:szCs w:val="24"/>
        </w:rPr>
        <w:t>HER2</w:t>
      </w:r>
      <w:r w:rsidRPr="0098647E">
        <w:rPr>
          <w:rFonts w:ascii="Times New Roman" w:hAnsi="Times New Roman" w:cs="Times New Roman"/>
          <w:sz w:val="24"/>
          <w:szCs w:val="24"/>
        </w:rPr>
        <w:t xml:space="preserve"> expression did not show a significant association with OS</w:t>
      </w:r>
      <w:r w:rsidR="002068FF">
        <w:rPr>
          <w:rFonts w:ascii="Times New Roman" w:hAnsi="Times New Roman" w:cs="Times New Roman"/>
          <w:sz w:val="24"/>
          <w:szCs w:val="24"/>
        </w:rPr>
        <w:t>.</w:t>
      </w:r>
      <w:r w:rsidRPr="0098647E">
        <w:rPr>
          <w:rFonts w:ascii="Times New Roman" w:hAnsi="Times New Roman" w:cs="Times New Roman"/>
          <w:sz w:val="24"/>
          <w:szCs w:val="24"/>
        </w:rPr>
        <w:t xml:space="preserve"> Instead, independent predictors of OS were identified as tumor-infiltrating lymphocyte scores scores (TILs) (p=0</w:t>
      </w:r>
      <w:r w:rsidR="0098647E">
        <w:rPr>
          <w:rFonts w:ascii="Times New Roman" w:hAnsi="Times New Roman" w:cs="Times New Roman"/>
          <w:sz w:val="24"/>
          <w:szCs w:val="24"/>
        </w:rPr>
        <w:t>,</w:t>
      </w:r>
      <w:r w:rsidRPr="0098647E">
        <w:rPr>
          <w:rFonts w:ascii="Times New Roman" w:hAnsi="Times New Roman" w:cs="Times New Roman"/>
          <w:sz w:val="24"/>
          <w:szCs w:val="24"/>
        </w:rPr>
        <w:t>02; HR=0</w:t>
      </w:r>
      <w:r w:rsidR="0098647E">
        <w:rPr>
          <w:rFonts w:ascii="Times New Roman" w:hAnsi="Times New Roman" w:cs="Times New Roman"/>
          <w:sz w:val="24"/>
          <w:szCs w:val="24"/>
        </w:rPr>
        <w:t>,</w:t>
      </w:r>
      <w:r w:rsidRPr="0098647E">
        <w:rPr>
          <w:rFonts w:ascii="Times New Roman" w:hAnsi="Times New Roman" w:cs="Times New Roman"/>
          <w:sz w:val="24"/>
          <w:szCs w:val="24"/>
        </w:rPr>
        <w:t>17; 95%CI 0</w:t>
      </w:r>
      <w:r w:rsidR="0098647E">
        <w:rPr>
          <w:rFonts w:ascii="Times New Roman" w:hAnsi="Times New Roman" w:cs="Times New Roman"/>
          <w:sz w:val="24"/>
          <w:szCs w:val="24"/>
        </w:rPr>
        <w:t>,</w:t>
      </w:r>
      <w:r w:rsidRPr="0098647E">
        <w:rPr>
          <w:rFonts w:ascii="Times New Roman" w:hAnsi="Times New Roman" w:cs="Times New Roman"/>
          <w:sz w:val="24"/>
          <w:szCs w:val="24"/>
        </w:rPr>
        <w:t>04-0</w:t>
      </w:r>
      <w:r w:rsidR="0098647E">
        <w:rPr>
          <w:rFonts w:ascii="Times New Roman" w:hAnsi="Times New Roman" w:cs="Times New Roman"/>
          <w:sz w:val="24"/>
          <w:szCs w:val="24"/>
        </w:rPr>
        <w:t>,</w:t>
      </w:r>
      <w:r w:rsidRPr="0098647E">
        <w:rPr>
          <w:rFonts w:ascii="Times New Roman" w:hAnsi="Times New Roman" w:cs="Times New Roman"/>
          <w:sz w:val="24"/>
          <w:szCs w:val="24"/>
        </w:rPr>
        <w:t>77) and node status (p=0</w:t>
      </w:r>
      <w:r w:rsidR="0098647E">
        <w:rPr>
          <w:rFonts w:ascii="Times New Roman" w:hAnsi="Times New Roman" w:cs="Times New Roman"/>
          <w:sz w:val="24"/>
          <w:szCs w:val="24"/>
        </w:rPr>
        <w:t>,</w:t>
      </w:r>
      <w:r w:rsidRPr="0098647E">
        <w:rPr>
          <w:rFonts w:ascii="Times New Roman" w:hAnsi="Times New Roman" w:cs="Times New Roman"/>
          <w:sz w:val="24"/>
          <w:szCs w:val="24"/>
        </w:rPr>
        <w:t>002; HR=3</w:t>
      </w:r>
      <w:r w:rsidR="0098647E">
        <w:rPr>
          <w:rFonts w:ascii="Times New Roman" w:hAnsi="Times New Roman" w:cs="Times New Roman"/>
          <w:sz w:val="24"/>
          <w:szCs w:val="24"/>
        </w:rPr>
        <w:t>,</w:t>
      </w:r>
      <w:r w:rsidRPr="0098647E">
        <w:rPr>
          <w:rFonts w:ascii="Times New Roman" w:hAnsi="Times New Roman" w:cs="Times New Roman"/>
          <w:sz w:val="24"/>
          <w:szCs w:val="24"/>
        </w:rPr>
        <w:t>8; 95%CI 1</w:t>
      </w:r>
      <w:r w:rsidR="0098647E">
        <w:rPr>
          <w:rFonts w:ascii="Times New Roman" w:hAnsi="Times New Roman" w:cs="Times New Roman"/>
          <w:sz w:val="24"/>
          <w:szCs w:val="24"/>
        </w:rPr>
        <w:t>,</w:t>
      </w:r>
      <w:r w:rsidRPr="0098647E">
        <w:rPr>
          <w:rFonts w:ascii="Times New Roman" w:hAnsi="Times New Roman" w:cs="Times New Roman"/>
          <w:sz w:val="24"/>
          <w:szCs w:val="24"/>
        </w:rPr>
        <w:t>6-9</w:t>
      </w:r>
      <w:r w:rsidR="0098647E">
        <w:rPr>
          <w:rFonts w:ascii="Times New Roman" w:hAnsi="Times New Roman" w:cs="Times New Roman"/>
          <w:sz w:val="24"/>
          <w:szCs w:val="24"/>
        </w:rPr>
        <w:t>,</w:t>
      </w:r>
      <w:r w:rsidRPr="0098647E">
        <w:rPr>
          <w:rFonts w:ascii="Times New Roman" w:hAnsi="Times New Roman" w:cs="Times New Roman"/>
          <w:sz w:val="24"/>
          <w:szCs w:val="24"/>
        </w:rPr>
        <w:t>1)</w:t>
      </w:r>
      <w:r w:rsidR="002068FF">
        <w:rPr>
          <w:rFonts w:ascii="Times New Roman" w:hAnsi="Times New Roman" w:cs="Times New Roman"/>
          <w:sz w:val="24"/>
          <w:szCs w:val="24"/>
        </w:rPr>
        <w:t>.</w:t>
      </w:r>
    </w:p>
    <w:p w14:paraId="09AACC28" w14:textId="4F65B275" w:rsidR="00B83DF5" w:rsidRPr="0098647E" w:rsidRDefault="00B83DF5" w:rsidP="00902398">
      <w:pPr>
        <w:spacing w:line="360" w:lineRule="auto"/>
        <w:jc w:val="both"/>
        <w:rPr>
          <w:rFonts w:ascii="Times New Roman" w:hAnsi="Times New Roman" w:cs="Times New Roman"/>
          <w:sz w:val="24"/>
          <w:szCs w:val="24"/>
        </w:rPr>
      </w:pPr>
      <w:r w:rsidRPr="0098647E">
        <w:rPr>
          <w:rFonts w:ascii="Times New Roman" w:hAnsi="Times New Roman" w:cs="Times New Roman"/>
          <w:b/>
          <w:bCs/>
          <w:sz w:val="24"/>
          <w:szCs w:val="24"/>
        </w:rPr>
        <w:lastRenderedPageBreak/>
        <w:t>Conclusion</w:t>
      </w:r>
      <w:r w:rsidRPr="0098647E">
        <w:rPr>
          <w:rFonts w:ascii="Times New Roman" w:hAnsi="Times New Roman" w:cs="Times New Roman"/>
          <w:sz w:val="24"/>
          <w:szCs w:val="24"/>
        </w:rPr>
        <w:t xml:space="preserve">: This study suggests that </w:t>
      </w:r>
      <w:r w:rsidR="00077B4C" w:rsidRPr="0098647E">
        <w:rPr>
          <w:rFonts w:ascii="Times New Roman" w:hAnsi="Times New Roman" w:cs="Times New Roman"/>
          <w:sz w:val="24"/>
          <w:szCs w:val="24"/>
        </w:rPr>
        <w:t>HER2</w:t>
      </w:r>
      <w:r w:rsidRPr="0098647E">
        <w:rPr>
          <w:rFonts w:ascii="Times New Roman" w:hAnsi="Times New Roman" w:cs="Times New Roman"/>
          <w:sz w:val="24"/>
          <w:szCs w:val="24"/>
        </w:rPr>
        <w:t xml:space="preserve">-low expression are associated with a lower immune response and worse survival outcome in early-stage TNBC patients compared to </w:t>
      </w:r>
      <w:r w:rsidR="00077B4C" w:rsidRPr="0098647E">
        <w:rPr>
          <w:rFonts w:ascii="Times New Roman" w:hAnsi="Times New Roman" w:cs="Times New Roman"/>
          <w:sz w:val="24"/>
          <w:szCs w:val="24"/>
        </w:rPr>
        <w:t>HER2</w:t>
      </w:r>
      <w:r w:rsidRPr="0098647E">
        <w:rPr>
          <w:rFonts w:ascii="Times New Roman" w:hAnsi="Times New Roman" w:cs="Times New Roman"/>
          <w:sz w:val="24"/>
          <w:szCs w:val="24"/>
        </w:rPr>
        <w:t>-</w:t>
      </w:r>
      <w:r w:rsidR="00757F5F" w:rsidRPr="0098647E">
        <w:rPr>
          <w:rFonts w:ascii="Times New Roman" w:hAnsi="Times New Roman" w:cs="Times New Roman"/>
          <w:sz w:val="24"/>
          <w:szCs w:val="24"/>
        </w:rPr>
        <w:t>0</w:t>
      </w:r>
      <w:r w:rsidRPr="0098647E">
        <w:rPr>
          <w:rFonts w:ascii="Times New Roman" w:hAnsi="Times New Roman" w:cs="Times New Roman"/>
          <w:sz w:val="24"/>
          <w:szCs w:val="24"/>
        </w:rPr>
        <w:t xml:space="preserve"> tumors</w:t>
      </w:r>
      <w:r w:rsidR="002068FF">
        <w:rPr>
          <w:rFonts w:ascii="Times New Roman" w:hAnsi="Times New Roman" w:cs="Times New Roman"/>
          <w:sz w:val="24"/>
          <w:szCs w:val="24"/>
        </w:rPr>
        <w:t>.</w:t>
      </w:r>
      <w:r w:rsidRPr="0098647E">
        <w:rPr>
          <w:rFonts w:ascii="Times New Roman" w:hAnsi="Times New Roman" w:cs="Times New Roman"/>
          <w:sz w:val="24"/>
          <w:szCs w:val="24"/>
        </w:rPr>
        <w:t xml:space="preserve"> Further investigations is needed to explore the potential of more refined classification and novel strategies that may improve the prognosis for </w:t>
      </w:r>
      <w:r w:rsidR="00077B4C" w:rsidRPr="0098647E">
        <w:rPr>
          <w:rFonts w:ascii="Times New Roman" w:hAnsi="Times New Roman" w:cs="Times New Roman"/>
          <w:sz w:val="24"/>
          <w:szCs w:val="24"/>
        </w:rPr>
        <w:t>HER2</w:t>
      </w:r>
      <w:r w:rsidRPr="0098647E">
        <w:rPr>
          <w:rFonts w:ascii="Times New Roman" w:hAnsi="Times New Roman" w:cs="Times New Roman"/>
          <w:sz w:val="24"/>
          <w:szCs w:val="24"/>
        </w:rPr>
        <w:t>-low TNBC patients</w:t>
      </w:r>
      <w:r w:rsidR="0098647E">
        <w:rPr>
          <w:rFonts w:ascii="Times New Roman" w:hAnsi="Times New Roman" w:cs="Times New Roman"/>
          <w:sz w:val="24"/>
          <w:szCs w:val="24"/>
        </w:rPr>
        <w:t>.</w:t>
      </w:r>
    </w:p>
    <w:p w14:paraId="7866CDDB" w14:textId="77777777" w:rsidR="00B83DF5" w:rsidRPr="0098647E" w:rsidRDefault="00B83DF5" w:rsidP="00902398">
      <w:pPr>
        <w:spacing w:line="360" w:lineRule="auto"/>
        <w:jc w:val="both"/>
        <w:rPr>
          <w:rFonts w:ascii="Times New Roman" w:hAnsi="Times New Roman" w:cs="Times New Roman"/>
          <w:sz w:val="24"/>
          <w:szCs w:val="24"/>
        </w:rPr>
      </w:pPr>
    </w:p>
    <w:p w14:paraId="6ABA1E1A" w14:textId="5E6D9F39" w:rsidR="00137C0A" w:rsidRPr="0098647E" w:rsidRDefault="0079075F" w:rsidP="00902398">
      <w:pPr>
        <w:pStyle w:val="ListParagraph"/>
        <w:numPr>
          <w:ilvl w:val="0"/>
          <w:numId w:val="5"/>
        </w:numPr>
        <w:spacing w:before="240" w:after="240" w:line="360" w:lineRule="auto"/>
        <w:jc w:val="both"/>
        <w:rPr>
          <w:rFonts w:ascii="Times New Roman" w:eastAsia="Times New Roman" w:hAnsi="Times New Roman" w:cs="Times New Roman"/>
          <w:b/>
          <w:sz w:val="24"/>
          <w:szCs w:val="24"/>
        </w:rPr>
      </w:pPr>
      <w:r w:rsidRPr="0098647E">
        <w:rPr>
          <w:rFonts w:ascii="Times New Roman" w:eastAsia="Times New Roman" w:hAnsi="Times New Roman" w:cs="Times New Roman"/>
          <w:b/>
          <w:sz w:val="24"/>
          <w:szCs w:val="24"/>
        </w:rPr>
        <w:t>ĐẶT VẤN ĐỀ</w:t>
      </w:r>
    </w:p>
    <w:p w14:paraId="11E38684" w14:textId="6C76AB31" w:rsidR="00CC7D1C" w:rsidRPr="0098647E" w:rsidRDefault="0036695F" w:rsidP="00902398">
      <w:pPr>
        <w:spacing w:before="240" w:after="240" w:line="360" w:lineRule="auto"/>
        <w:ind w:firstLine="720"/>
        <w:jc w:val="both"/>
        <w:rPr>
          <w:rFonts w:ascii="Times New Roman" w:eastAsia="Times New Roman" w:hAnsi="Times New Roman" w:cs="Times New Roman"/>
          <w:sz w:val="24"/>
          <w:szCs w:val="24"/>
        </w:rPr>
      </w:pPr>
      <w:r w:rsidRPr="0098647E">
        <w:rPr>
          <w:rFonts w:ascii="Times New Roman" w:eastAsia="Times New Roman" w:hAnsi="Times New Roman" w:cs="Times New Roman"/>
          <w:sz w:val="24"/>
          <w:szCs w:val="24"/>
        </w:rPr>
        <w:t xml:space="preserve">Ung thư vú là ung thư phổ biến nhất ở giới nữ với số lượng ca mắc ngày càng tăng và </w:t>
      </w:r>
      <w:r w:rsidR="00994832" w:rsidRPr="0098647E">
        <w:rPr>
          <w:rFonts w:ascii="Times New Roman" w:eastAsia="Times New Roman" w:hAnsi="Times New Roman" w:cs="Times New Roman"/>
          <w:sz w:val="24"/>
          <w:szCs w:val="24"/>
        </w:rPr>
        <w:t>là một trong những nguyên nhân nguyên nhân hàng đầu gây tử vong do các bệnh ung thư</w:t>
      </w:r>
      <w:r w:rsidR="00005F43" w:rsidRPr="0098647E">
        <w:rPr>
          <w:rFonts w:ascii="Times New Roman" w:eastAsia="Times New Roman" w:hAnsi="Times New Roman" w:cs="Times New Roman"/>
          <w:sz w:val="24"/>
          <w:szCs w:val="24"/>
        </w:rPr>
        <w:fldChar w:fldCharType="begin"/>
      </w:r>
      <w:r w:rsidR="005F7A66" w:rsidRPr="0098647E">
        <w:rPr>
          <w:rFonts w:ascii="Times New Roman" w:eastAsia="Times New Roman" w:hAnsi="Times New Roman" w:cs="Times New Roman"/>
          <w:sz w:val="24"/>
          <w:szCs w:val="24"/>
        </w:rPr>
        <w:instrText xml:space="preserve"> ADDIN ZOTERO_ITEM CSL_CITATION {"citationID":"1Z3hG4e7","properties":{"formattedCitation":"\\super 1\\nosupersub{}","plainCitation":"1","noteIndex":0},"citationItems":[{"id":665,"uris":["http://zotero.org/users/6192396/items/NJJFU56P"],"itemData":{"id":665,"type":"article-journal","abstract":"Each year, the American Cancer Society estimates the numbers of new cancer cases and deaths that will occur in the United States in the current year and compiles the most recent data on cancer incidence, mortality, and survival. Incidence data were collected by the Surveillance, Epidemiology, and End Results Program; the National Program of Cancer Registries; and the North American Association of Central Cancer Registries. Mortality data were collected by the National Center for Health Statistics. In 2017, 1,688,780 new cancer cases and 600,920 cancer deaths are projected to occur in the United States. For all sites combined, the cancer incidence rate is 20% higher in men than in women, while the cancer death rate is 40% higher. However, sex disparities vary by cancer type. For example, thyroid cancer incidence rates are 3-fold higher in women than in men (21 vs 7 per 100,000 population), despite equivalent death rates (0.5 per 100,000 population), largely reflecting sex differences in the “epidemic of diagnosis.” Over the past decade of available data, the overall cancer incidence rate (2004-2013) was stable in women and declined by approximately 2% annually in men, while the cancer death rate (2005-2014) declined by about 1.5% annually in both men and women. From 1991 to 2014, the overall cancer death rate dropped 25%, translating to approximately 2,143,200 fewer cancer deaths than would have been expected if death rates had remained at their peak. Although the cancer death rate was 15% higher in blacks than in whites in 2014, increasing access to care as a result of the Patient Protection and Affordable Care Act may expedite the narrowing racial gap; from 2010 to 2015, the proportion of blacks who were uninsured halved, from 21% to 11%, as it did for Hispanics (31% to 16%). Gains in coverage for traditionally underserved Americans will facilitate the broader application of existing cancer control knowledge across every segment of the population. CA Cancer J Clin 2017;67:7–30. © 2017 American Cancer Society.","container-title":"CA: A Cancer Journal for Clinicians","DOI":"10.3322/caac.21387","ISSN":"1542-4863","issue":"1","language":"en","license":"© 2017 American Cancer Society","note":"_eprint: https://onlinelibrary.wiley.com/doi/pdf/10.3322/caac.21387","page":"7-30","source":"Wiley Online Library","title":"Cancer statistics, 2017","volume":"67","author":[{"family":"Siegel","given":"Rebecca L."},{"family":"Miller","given":"Kimberly D."},{"family":"Jemal","given":"Ahmedin"}],"issued":{"date-parts":[["2017"]]}}}],"schema":"https://github.com/citation-style-language/schema/raw/master/csl-citation.json"} </w:instrText>
      </w:r>
      <w:r w:rsidR="00005F43" w:rsidRPr="0098647E">
        <w:rPr>
          <w:rFonts w:ascii="Times New Roman" w:eastAsia="Times New Roman" w:hAnsi="Times New Roman" w:cs="Times New Roman"/>
          <w:sz w:val="24"/>
          <w:szCs w:val="24"/>
        </w:rPr>
        <w:fldChar w:fldCharType="separate"/>
      </w:r>
      <w:r w:rsidR="00005F43" w:rsidRPr="0098647E">
        <w:rPr>
          <w:rFonts w:ascii="Times New Roman" w:hAnsi="Times New Roman" w:cs="Times New Roman"/>
          <w:kern w:val="0"/>
          <w:sz w:val="24"/>
          <w:szCs w:val="24"/>
          <w:vertAlign w:val="superscript"/>
        </w:rPr>
        <w:t>1</w:t>
      </w:r>
      <w:r w:rsidR="00005F43" w:rsidRPr="0098647E">
        <w:rPr>
          <w:rFonts w:ascii="Times New Roman" w:eastAsia="Times New Roman" w:hAnsi="Times New Roman" w:cs="Times New Roman"/>
          <w:sz w:val="24"/>
          <w:szCs w:val="24"/>
        </w:rPr>
        <w:fldChar w:fldCharType="end"/>
      </w:r>
      <w:r w:rsidR="002068FF">
        <w:rPr>
          <w:rFonts w:ascii="Times New Roman" w:eastAsia="Times New Roman" w:hAnsi="Times New Roman" w:cs="Times New Roman"/>
          <w:sz w:val="24"/>
          <w:szCs w:val="24"/>
        </w:rPr>
        <w:t>.</w:t>
      </w:r>
      <w:r w:rsidR="00005F43" w:rsidRPr="0098647E">
        <w:rPr>
          <w:rFonts w:ascii="Times New Roman" w:eastAsia="Times New Roman" w:hAnsi="Times New Roman" w:cs="Times New Roman"/>
          <w:sz w:val="24"/>
          <w:szCs w:val="24"/>
        </w:rPr>
        <w:t xml:space="preserve"> </w:t>
      </w:r>
      <w:bookmarkStart w:id="0" w:name="_Hlk160478406"/>
      <w:r w:rsidR="00A62E22" w:rsidRPr="0098647E">
        <w:rPr>
          <w:rFonts w:ascii="Times New Roman" w:eastAsia="Times New Roman" w:hAnsi="Times New Roman" w:cs="Times New Roman"/>
          <w:sz w:val="24"/>
          <w:szCs w:val="24"/>
        </w:rPr>
        <w:t>Ung thư vú</w:t>
      </w:r>
      <w:r w:rsidR="00077B4C" w:rsidRPr="0098647E">
        <w:rPr>
          <w:rFonts w:ascii="Times New Roman" w:eastAsia="Times New Roman" w:hAnsi="Times New Roman" w:cs="Times New Roman"/>
          <w:sz w:val="24"/>
          <w:szCs w:val="24"/>
        </w:rPr>
        <w:t xml:space="preserve"> bộ</w:t>
      </w:r>
      <w:r w:rsidR="00A62E22" w:rsidRPr="0098647E">
        <w:rPr>
          <w:rFonts w:ascii="Times New Roman" w:eastAsia="Times New Roman" w:hAnsi="Times New Roman" w:cs="Times New Roman"/>
          <w:sz w:val="24"/>
          <w:szCs w:val="24"/>
        </w:rPr>
        <w:t xml:space="preserve"> ba âm tính</w:t>
      </w:r>
      <w:r w:rsidR="00077B4C" w:rsidRPr="0098647E">
        <w:rPr>
          <w:rFonts w:ascii="Times New Roman" w:eastAsia="Times New Roman" w:hAnsi="Times New Roman" w:cs="Times New Roman"/>
          <w:sz w:val="24"/>
          <w:szCs w:val="24"/>
        </w:rPr>
        <w:t xml:space="preserve"> là nhóm bệnh ung thư vú có tình trạng</w:t>
      </w:r>
      <w:r w:rsidR="00A743E5" w:rsidRPr="0098647E">
        <w:rPr>
          <w:rFonts w:ascii="Times New Roman" w:eastAsia="Times New Roman" w:hAnsi="Times New Roman" w:cs="Times New Roman"/>
          <w:sz w:val="24"/>
          <w:szCs w:val="24"/>
        </w:rPr>
        <w:t xml:space="preserve"> </w:t>
      </w:r>
      <w:r w:rsidR="00A62E22" w:rsidRPr="0098647E">
        <w:rPr>
          <w:rFonts w:ascii="Times New Roman" w:eastAsia="Times New Roman" w:hAnsi="Times New Roman" w:cs="Times New Roman"/>
          <w:sz w:val="24"/>
          <w:szCs w:val="24"/>
        </w:rPr>
        <w:t xml:space="preserve"> ER</w:t>
      </w:r>
      <w:r w:rsidR="00A743E5" w:rsidRPr="0098647E">
        <w:rPr>
          <w:rFonts w:ascii="Times New Roman" w:eastAsia="Times New Roman" w:hAnsi="Times New Roman" w:cs="Times New Roman"/>
          <w:sz w:val="24"/>
          <w:szCs w:val="24"/>
        </w:rPr>
        <w:t xml:space="preserve"> âm tính</w:t>
      </w:r>
      <w:r w:rsidR="00A62E22" w:rsidRPr="0098647E">
        <w:rPr>
          <w:rFonts w:ascii="Times New Roman" w:eastAsia="Times New Roman" w:hAnsi="Times New Roman" w:cs="Times New Roman"/>
          <w:sz w:val="24"/>
          <w:szCs w:val="24"/>
        </w:rPr>
        <w:t>, PR</w:t>
      </w:r>
      <w:r w:rsidR="00A743E5" w:rsidRPr="0098647E">
        <w:rPr>
          <w:rFonts w:ascii="Times New Roman" w:eastAsia="Times New Roman" w:hAnsi="Times New Roman" w:cs="Times New Roman"/>
          <w:sz w:val="24"/>
          <w:szCs w:val="24"/>
        </w:rPr>
        <w:t xml:space="preserve"> </w:t>
      </w:r>
      <w:r w:rsidR="00A62E22" w:rsidRPr="0098647E">
        <w:rPr>
          <w:rFonts w:ascii="Times New Roman" w:eastAsia="Times New Roman" w:hAnsi="Times New Roman" w:cs="Times New Roman"/>
          <w:sz w:val="24"/>
          <w:szCs w:val="24"/>
        </w:rPr>
        <w:t xml:space="preserve">âm tính, </w:t>
      </w:r>
      <w:r w:rsidR="00A743E5" w:rsidRPr="0098647E">
        <w:rPr>
          <w:rFonts w:ascii="Times New Roman" w:eastAsia="Times New Roman" w:hAnsi="Times New Roman" w:cs="Times New Roman"/>
          <w:sz w:val="24"/>
          <w:szCs w:val="24"/>
        </w:rPr>
        <w:t xml:space="preserve">HER2 âm tính </w:t>
      </w:r>
      <w:r w:rsidR="00A62E22" w:rsidRPr="0098647E">
        <w:rPr>
          <w:rFonts w:ascii="Times New Roman" w:eastAsia="Times New Roman" w:hAnsi="Times New Roman" w:cs="Times New Roman"/>
          <w:sz w:val="24"/>
          <w:szCs w:val="24"/>
        </w:rPr>
        <w:t>chiếm 15-20% trong số tất cả các loại ung thư vú</w:t>
      </w:r>
      <w:r w:rsidR="005F7A66" w:rsidRPr="0098647E">
        <w:rPr>
          <w:rFonts w:ascii="Times New Roman" w:eastAsia="Times New Roman" w:hAnsi="Times New Roman" w:cs="Times New Roman"/>
          <w:sz w:val="24"/>
          <w:szCs w:val="24"/>
        </w:rPr>
        <w:fldChar w:fldCharType="begin"/>
      </w:r>
      <w:r w:rsidR="005F7A66" w:rsidRPr="0098647E">
        <w:rPr>
          <w:rFonts w:ascii="Times New Roman" w:eastAsia="Times New Roman" w:hAnsi="Times New Roman" w:cs="Times New Roman"/>
          <w:sz w:val="24"/>
          <w:szCs w:val="24"/>
        </w:rPr>
        <w:instrText xml:space="preserve"> ADDIN ZOTERO_ITEM CSL_CITATION {"citationID":"Yenspgns","properties":{"formattedCitation":"\\super 2\\nosupersub{}","plainCitation":"2","noteIndex":0},"citationItems":[{"id":721,"uris":["http://zotero.org/users/6192396/items/BQA4MWUW"],"itemData":{"id":721,"type":"article-journal","abstract":"Kim NH, et al. Ann Surg Treat Res. 2022 Sep;103(3):129-144. https://doi.org/10.4174/astr.2022.103.3.129","container-title":"Annals of Surgical Treatment and Research","DOI":"10.4174/astr.2022.103.3.129","ISSN":"2288-6575","issue":"3","language":"English","page":"129-144","source":"astr.or.kr","title":"The different prognostic impact of age according to individual molecular subtypes in breast cancer","volume":"103","author":[{"family":"Kim","given":"Nam Hee"},{"family":"Bang","given":"Hye Won"},{"family":"Eom","given":"Yong Hwa"},{"family":"Choi","given":"Seung Hye"}],"issued":{"date-parts":[["2022",9,1]]}}}],"schema":"https://github.com/citation-style-language/schema/raw/master/csl-citation.json"} </w:instrText>
      </w:r>
      <w:r w:rsidR="005F7A66" w:rsidRPr="0098647E">
        <w:rPr>
          <w:rFonts w:ascii="Times New Roman" w:eastAsia="Times New Roman" w:hAnsi="Times New Roman" w:cs="Times New Roman"/>
          <w:sz w:val="24"/>
          <w:szCs w:val="24"/>
        </w:rPr>
        <w:fldChar w:fldCharType="separate"/>
      </w:r>
      <w:r w:rsidR="005F7A66" w:rsidRPr="0098647E">
        <w:rPr>
          <w:rFonts w:ascii="Times New Roman" w:hAnsi="Times New Roman" w:cs="Times New Roman"/>
          <w:kern w:val="0"/>
          <w:sz w:val="24"/>
          <w:szCs w:val="24"/>
          <w:vertAlign w:val="superscript"/>
        </w:rPr>
        <w:t>2</w:t>
      </w:r>
      <w:r w:rsidR="005F7A66" w:rsidRPr="0098647E">
        <w:rPr>
          <w:rFonts w:ascii="Times New Roman" w:eastAsia="Times New Roman" w:hAnsi="Times New Roman" w:cs="Times New Roman"/>
          <w:sz w:val="24"/>
          <w:szCs w:val="24"/>
        </w:rPr>
        <w:fldChar w:fldCharType="end"/>
      </w:r>
      <w:r w:rsidR="002068FF">
        <w:rPr>
          <w:rFonts w:ascii="Times New Roman" w:eastAsia="Times New Roman" w:hAnsi="Times New Roman" w:cs="Times New Roman"/>
          <w:sz w:val="24"/>
          <w:szCs w:val="24"/>
        </w:rPr>
        <w:t>.</w:t>
      </w:r>
      <w:r w:rsidR="00BB427D" w:rsidRPr="0098647E">
        <w:rPr>
          <w:rFonts w:ascii="Times New Roman" w:eastAsia="Times New Roman" w:hAnsi="Times New Roman" w:cs="Times New Roman"/>
          <w:sz w:val="24"/>
          <w:szCs w:val="24"/>
        </w:rPr>
        <w:t xml:space="preserve"> </w:t>
      </w:r>
      <w:r w:rsidR="0060442F" w:rsidRPr="0098647E">
        <w:rPr>
          <w:rFonts w:ascii="Times New Roman" w:eastAsia="Times New Roman" w:hAnsi="Times New Roman" w:cs="Times New Roman"/>
          <w:sz w:val="24"/>
          <w:szCs w:val="24"/>
        </w:rPr>
        <w:t>Ung thư vú thể bộ ba âm tính liên quan đến bệnh tiến triển nhanh và tiên lượng xấu so với các phân nhóm khác</w:t>
      </w:r>
      <w:r w:rsidR="00C34AC5" w:rsidRPr="0098647E">
        <w:rPr>
          <w:rFonts w:ascii="Times New Roman" w:eastAsia="Times New Roman" w:hAnsi="Times New Roman" w:cs="Times New Roman"/>
          <w:sz w:val="24"/>
          <w:szCs w:val="24"/>
        </w:rPr>
        <w:fldChar w:fldCharType="begin"/>
      </w:r>
      <w:r w:rsidR="00C34AC5" w:rsidRPr="0098647E">
        <w:rPr>
          <w:rFonts w:ascii="Times New Roman" w:eastAsia="Times New Roman" w:hAnsi="Times New Roman" w:cs="Times New Roman"/>
          <w:sz w:val="24"/>
          <w:szCs w:val="24"/>
        </w:rPr>
        <w:instrText xml:space="preserve"> ADDIN ZOTERO_ITEM CSL_CITATION {"citationID":"3USVij7e","properties":{"formattedCitation":"\\super 3\\nosupersub{}","plainCitation":"3","noteIndex":0},"citationItems":[{"id":722,"uris":["http://zotero.org/users/6192396/items/VRKKFLGF"],"itemData":{"id":722,"type":"article-journal","abstract":"Purpose: To compare the clinical features, natural history, and outcomes for women with “triple-negative” breast cancer with women with other types of breast cancer.Experimental Design: We studied a cohort of 1,601 patients with breast cancer, diagnosed between January 1987 and December 1997 at Women's College Hospital in Toronto. Triple-negative breast cancers were defined as those that were estrogen receptor negative, progesterone receptor negative, and HER2neu negative. The prognostic significance of triple-negative breast cancer was explored.Results: The median follow-up time of the 1,601 women was 8.1 years. One hundred and eighty of 1,601 patients (11.2%) had triple-negative breast cancer. Compared with other women with breast cancer, those with triple-negative breast cancer had an increased likelihood of distant recurrence (hazard ratio, 2.6; 95% confidence interval, 2.0-3.5; P &amp;lt; 0.0001) and death (hazard ratio, 3.2; 95% confidence interval, 2.3-4.5; P &amp;lt; 0.001) within 5 years of diagnosis but not thereafter. The pattern of recurrence was also qualitatively different; among the triple-negative group, the risk of distant recurrence peaked at </w:instrText>
      </w:r>
      <w:r w:rsidR="00C34AC5" w:rsidRPr="0098647E">
        <w:rPr>
          <w:rFonts w:ascii="Cambria Math" w:eastAsia="Times New Roman" w:hAnsi="Cambria Math" w:cs="Cambria Math"/>
          <w:sz w:val="24"/>
          <w:szCs w:val="24"/>
        </w:rPr>
        <w:instrText>∼</w:instrText>
      </w:r>
      <w:r w:rsidR="00C34AC5" w:rsidRPr="0098647E">
        <w:rPr>
          <w:rFonts w:ascii="Times New Roman" w:eastAsia="Times New Roman" w:hAnsi="Times New Roman" w:cs="Times New Roman"/>
          <w:sz w:val="24"/>
          <w:szCs w:val="24"/>
        </w:rPr>
        <w:instrText xml:space="preserve">3 years and declined rapidly thereafter. Among the “other” group, the recurrence risk seemed to be constant over the period of follow-up.Conclusions: Triple-negative breast cancers have a more aggressive clinical course than other forms of breast cancer, but the adverse effect is transient.","container-title":"Clinical Cancer Research","DOI":"10.1158/1078-0432.CCR-06-3045","ISSN":"1078-0432","issue":"15","journalAbbreviation":"Clinical Cancer Research","page":"4429-4434","source":"Silverchair","title":"Triple-Negative Breast Cancer: Clinical Features and Patterns of Recurrence","title-short":"Triple-Negative Breast Cancer","volume":"13","author":[{"family":"Dent","given":"Rebecca"},{"family":"Trudeau","given":"Maureen"},{"family":"Pritchard","given":"Kathleen I."},{"family":"Hanna","given":"Wedad M."},{"family":"Kahn","given":"Harriet K."},{"family":"Sawka","given":"Carol A."},{"family":"Lickley","given":"Lavina A."},{"family":"Rawlinson","given":"Ellen"},{"family":"Sun","given":"Ping"},{"family":"Narod","given":"Steven A."}],"issued":{"date-parts":[["2007",8,1]]}}}],"schema":"https://github.com/citation-style-language/schema/raw/master/csl-citation.json"} </w:instrText>
      </w:r>
      <w:r w:rsidR="00C34AC5" w:rsidRPr="0098647E">
        <w:rPr>
          <w:rFonts w:ascii="Times New Roman" w:eastAsia="Times New Roman" w:hAnsi="Times New Roman" w:cs="Times New Roman"/>
          <w:sz w:val="24"/>
          <w:szCs w:val="24"/>
        </w:rPr>
        <w:fldChar w:fldCharType="separate"/>
      </w:r>
      <w:r w:rsidR="00C34AC5" w:rsidRPr="0098647E">
        <w:rPr>
          <w:rFonts w:ascii="Times New Roman" w:hAnsi="Times New Roman" w:cs="Times New Roman"/>
          <w:kern w:val="0"/>
          <w:sz w:val="24"/>
          <w:szCs w:val="24"/>
          <w:vertAlign w:val="superscript"/>
        </w:rPr>
        <w:t>3</w:t>
      </w:r>
      <w:r w:rsidR="00C34AC5" w:rsidRPr="0098647E">
        <w:rPr>
          <w:rFonts w:ascii="Times New Roman" w:eastAsia="Times New Roman" w:hAnsi="Times New Roman" w:cs="Times New Roman"/>
          <w:sz w:val="24"/>
          <w:szCs w:val="24"/>
        </w:rPr>
        <w:fldChar w:fldCharType="end"/>
      </w:r>
      <w:r w:rsidR="002068FF">
        <w:rPr>
          <w:rFonts w:ascii="Times New Roman" w:eastAsia="Times New Roman" w:hAnsi="Times New Roman" w:cs="Times New Roman"/>
          <w:sz w:val="24"/>
          <w:szCs w:val="24"/>
        </w:rPr>
        <w:t xml:space="preserve">. </w:t>
      </w:r>
      <w:r w:rsidR="00334CF0" w:rsidRPr="0098647E">
        <w:rPr>
          <w:rFonts w:ascii="Times New Roman" w:eastAsia="Times New Roman" w:hAnsi="Times New Roman" w:cs="Times New Roman"/>
          <w:sz w:val="24"/>
          <w:szCs w:val="24"/>
        </w:rPr>
        <w:t xml:space="preserve">Vì TNBC được định nghĩa là âm tính với thụ thể </w:t>
      </w:r>
      <w:r w:rsidR="00757F5F" w:rsidRPr="0098647E">
        <w:rPr>
          <w:rFonts w:ascii="Times New Roman" w:eastAsia="Times New Roman" w:hAnsi="Times New Roman" w:cs="Times New Roman"/>
          <w:sz w:val="24"/>
          <w:szCs w:val="24"/>
        </w:rPr>
        <w:t>nội tiết</w:t>
      </w:r>
      <w:r w:rsidR="00334CF0" w:rsidRPr="0098647E">
        <w:rPr>
          <w:rFonts w:ascii="Times New Roman" w:eastAsia="Times New Roman" w:hAnsi="Times New Roman" w:cs="Times New Roman"/>
          <w:sz w:val="24"/>
          <w:szCs w:val="24"/>
        </w:rPr>
        <w:t xml:space="preserve"> và âm tính với </w:t>
      </w:r>
      <w:r w:rsidR="00077B4C" w:rsidRPr="0098647E">
        <w:rPr>
          <w:rFonts w:ascii="Times New Roman" w:eastAsia="Times New Roman" w:hAnsi="Times New Roman" w:cs="Times New Roman"/>
          <w:sz w:val="24"/>
          <w:szCs w:val="24"/>
        </w:rPr>
        <w:t>HER2</w:t>
      </w:r>
      <w:r w:rsidR="00334CF0" w:rsidRPr="0098647E">
        <w:rPr>
          <w:rFonts w:ascii="Times New Roman" w:eastAsia="Times New Roman" w:hAnsi="Times New Roman" w:cs="Times New Roman"/>
          <w:sz w:val="24"/>
          <w:szCs w:val="24"/>
        </w:rPr>
        <w:t xml:space="preserve">, nên không thể áp dụng liệu pháp </w:t>
      </w:r>
      <w:r w:rsidR="00757F5F" w:rsidRPr="0098647E">
        <w:rPr>
          <w:rFonts w:ascii="Times New Roman" w:eastAsia="Times New Roman" w:hAnsi="Times New Roman" w:cs="Times New Roman"/>
          <w:sz w:val="24"/>
          <w:szCs w:val="24"/>
        </w:rPr>
        <w:t>nội tiết</w:t>
      </w:r>
      <w:r w:rsidR="00334CF0" w:rsidRPr="0098647E">
        <w:rPr>
          <w:rFonts w:ascii="Times New Roman" w:eastAsia="Times New Roman" w:hAnsi="Times New Roman" w:cs="Times New Roman"/>
          <w:sz w:val="24"/>
          <w:szCs w:val="24"/>
        </w:rPr>
        <w:t xml:space="preserve"> hoặc liệu pháp nhắm mục tiêu </w:t>
      </w:r>
      <w:r w:rsidR="00077B4C" w:rsidRPr="0098647E">
        <w:rPr>
          <w:rFonts w:ascii="Times New Roman" w:eastAsia="Times New Roman" w:hAnsi="Times New Roman" w:cs="Times New Roman"/>
          <w:sz w:val="24"/>
          <w:szCs w:val="24"/>
        </w:rPr>
        <w:t>HER2</w:t>
      </w:r>
      <w:r w:rsidR="00334CF0" w:rsidRPr="0098647E">
        <w:rPr>
          <w:rFonts w:ascii="Times New Roman" w:eastAsia="Times New Roman" w:hAnsi="Times New Roman" w:cs="Times New Roman"/>
          <w:sz w:val="24"/>
          <w:szCs w:val="24"/>
        </w:rPr>
        <w:t>, hóa trị là phương pháp điều trị chính</w:t>
      </w:r>
      <w:r w:rsidR="00186D7A" w:rsidRPr="0098647E">
        <w:rPr>
          <w:rFonts w:ascii="Times New Roman" w:eastAsia="Times New Roman" w:hAnsi="Times New Roman" w:cs="Times New Roman"/>
          <w:sz w:val="24"/>
          <w:szCs w:val="24"/>
        </w:rPr>
        <w:t xml:space="preserve"> và gần đây là vai trò của các thuốc miễn dịch</w:t>
      </w:r>
      <w:r w:rsidR="00592FF9" w:rsidRPr="0098647E">
        <w:rPr>
          <w:rFonts w:ascii="Times New Roman" w:eastAsia="Times New Roman" w:hAnsi="Times New Roman" w:cs="Times New Roman"/>
          <w:sz w:val="24"/>
          <w:szCs w:val="24"/>
        </w:rPr>
        <w:fldChar w:fldCharType="begin"/>
      </w:r>
      <w:r w:rsidR="00592FF9" w:rsidRPr="0098647E">
        <w:rPr>
          <w:rFonts w:ascii="Times New Roman" w:eastAsia="Times New Roman" w:hAnsi="Times New Roman" w:cs="Times New Roman"/>
          <w:sz w:val="24"/>
          <w:szCs w:val="24"/>
        </w:rPr>
        <w:instrText xml:space="preserve"> ADDIN ZOTERO_ITEM CSL_CITATION {"citationID":"UtKSWENb","properties":{"formattedCitation":"\\super 4\\nosupersub{}","plainCitation":"4","noteIndex":0},"citationItems":[{"id":725,"uris":["http://zotero.org/users/6192396/items/BQE7BYXJ"],"itemData":{"id":725,"type":"article-journal","collection-title":"Triple-negative breast cancer - clinical results and biomarker analysis of GeparNuevo study","container-title":"Annals of Oncology","DOI":"10.1093/annonc/mdz173","ISSN":"0923-7534","issue":"8","journalAbbreviation":"Annals of Oncology","page":"1194-1220","source":"ScienceDirect","title":"Early breast cancer: ESMO Clinical Practice Guidelines for diagnosis, treatment and follow-up†","title-short":"Early breast cancer","volume":"30","author":[{"family":"Cardoso","given":"F."},{"family":"Kyriakides","given":"S."},{"family":"Ohno","given":"S."},{"family":"Penault-Llorca","given":"F."},{"family":"Poortmans","given":"P."},{"family":"Rubio","given":"I. T."},{"family":"Zackrisson","given":"S."},{"family":"Senkus","given":"E."}],"issued":{"date-parts":[["2019",8,1]]}}}],"schema":"https://github.com/citation-style-language/schema/raw/master/csl-citation.json"} </w:instrText>
      </w:r>
      <w:r w:rsidR="00592FF9" w:rsidRPr="0098647E">
        <w:rPr>
          <w:rFonts w:ascii="Times New Roman" w:eastAsia="Times New Roman" w:hAnsi="Times New Roman" w:cs="Times New Roman"/>
          <w:sz w:val="24"/>
          <w:szCs w:val="24"/>
        </w:rPr>
        <w:fldChar w:fldCharType="separate"/>
      </w:r>
      <w:r w:rsidR="00592FF9" w:rsidRPr="0098647E">
        <w:rPr>
          <w:rFonts w:ascii="Times New Roman" w:hAnsi="Times New Roman" w:cs="Times New Roman"/>
          <w:kern w:val="0"/>
          <w:sz w:val="24"/>
          <w:szCs w:val="24"/>
          <w:vertAlign w:val="superscript"/>
        </w:rPr>
        <w:t>4</w:t>
      </w:r>
      <w:r w:rsidR="00592FF9" w:rsidRPr="0098647E">
        <w:rPr>
          <w:rFonts w:ascii="Times New Roman" w:eastAsia="Times New Roman" w:hAnsi="Times New Roman" w:cs="Times New Roman"/>
          <w:sz w:val="24"/>
          <w:szCs w:val="24"/>
        </w:rPr>
        <w:fldChar w:fldCharType="end"/>
      </w:r>
      <w:r w:rsidR="002068FF">
        <w:rPr>
          <w:rFonts w:ascii="Times New Roman" w:eastAsia="Times New Roman" w:hAnsi="Times New Roman" w:cs="Times New Roman"/>
          <w:sz w:val="24"/>
          <w:szCs w:val="24"/>
        </w:rPr>
        <w:t>.</w:t>
      </w:r>
      <w:r w:rsidR="0077206E" w:rsidRPr="0098647E">
        <w:rPr>
          <w:rFonts w:ascii="Times New Roman" w:eastAsia="Times New Roman" w:hAnsi="Times New Roman" w:cs="Times New Roman"/>
          <w:sz w:val="24"/>
          <w:szCs w:val="24"/>
        </w:rPr>
        <w:t xml:space="preserve"> </w:t>
      </w:r>
      <w:r w:rsidR="00757F5F" w:rsidRPr="0098647E">
        <w:rPr>
          <w:rFonts w:ascii="Times New Roman" w:eastAsia="Times New Roman" w:hAnsi="Times New Roman" w:cs="Times New Roman"/>
          <w:sz w:val="24"/>
          <w:szCs w:val="24"/>
        </w:rPr>
        <w:t>N</w:t>
      </w:r>
      <w:r w:rsidR="0036169B" w:rsidRPr="0098647E">
        <w:rPr>
          <w:rFonts w:ascii="Times New Roman" w:eastAsia="Times New Roman" w:hAnsi="Times New Roman" w:cs="Times New Roman"/>
          <w:sz w:val="24"/>
          <w:szCs w:val="24"/>
        </w:rPr>
        <w:t>hóm HER2 âm tính bao gồm phân nhóm HER2-0</w:t>
      </w:r>
      <w:r w:rsidR="00757F5F" w:rsidRPr="0098647E">
        <w:rPr>
          <w:rFonts w:ascii="Times New Roman" w:eastAsia="Times New Roman" w:hAnsi="Times New Roman" w:cs="Times New Roman"/>
          <w:sz w:val="24"/>
          <w:szCs w:val="24"/>
        </w:rPr>
        <w:t xml:space="preserve"> (điểm 0 trên phân tích HMMD)</w:t>
      </w:r>
      <w:r w:rsidR="0036169B" w:rsidRPr="0098647E">
        <w:rPr>
          <w:rFonts w:ascii="Times New Roman" w:eastAsia="Times New Roman" w:hAnsi="Times New Roman" w:cs="Times New Roman"/>
          <w:sz w:val="24"/>
          <w:szCs w:val="24"/>
        </w:rPr>
        <w:t xml:space="preserve"> và phân nhóm HER2- thấp </w:t>
      </w:r>
      <w:r w:rsidR="0036169B" w:rsidRPr="0098647E">
        <w:rPr>
          <w:rFonts w:ascii="Times New Roman" w:eastAsia="Times New Roman" w:hAnsi="Times New Roman" w:cs="Times New Roman"/>
          <w:kern w:val="0"/>
          <w:sz w:val="24"/>
          <w:szCs w:val="24"/>
          <w14:ligatures w14:val="none"/>
        </w:rPr>
        <w:t>(HER2 1+ trên HMMD hoặc HER 2+ trên HMMD và kết quả Dual-ISH hoặc FISH âm tính)</w:t>
      </w:r>
      <w:r w:rsidR="002068FF">
        <w:rPr>
          <w:rFonts w:ascii="Times New Roman" w:eastAsia="Times New Roman" w:hAnsi="Times New Roman" w:cs="Times New Roman"/>
          <w:kern w:val="0"/>
          <w:sz w:val="24"/>
          <w:szCs w:val="24"/>
          <w14:ligatures w14:val="none"/>
        </w:rPr>
        <w:t>.</w:t>
      </w:r>
      <w:r w:rsidR="00757F5F" w:rsidRPr="0098647E">
        <w:rPr>
          <w:rFonts w:ascii="Times New Roman" w:eastAsia="Times New Roman" w:hAnsi="Times New Roman" w:cs="Times New Roman"/>
          <w:kern w:val="0"/>
          <w:sz w:val="24"/>
          <w:szCs w:val="24"/>
          <w14:ligatures w14:val="none"/>
        </w:rPr>
        <w:t xml:space="preserve"> </w:t>
      </w:r>
      <w:r w:rsidR="0076623A" w:rsidRPr="0098647E">
        <w:rPr>
          <w:rFonts w:ascii="Times New Roman" w:eastAsia="Times New Roman" w:hAnsi="Times New Roman" w:cs="Times New Roman"/>
          <w:sz w:val="24"/>
          <w:szCs w:val="24"/>
        </w:rPr>
        <w:t>Đã có các nghiên cứu cho thấy</w:t>
      </w:r>
      <w:r w:rsidR="002A665A" w:rsidRPr="0098647E">
        <w:rPr>
          <w:rFonts w:ascii="Times New Roman" w:eastAsia="Times New Roman" w:hAnsi="Times New Roman" w:cs="Times New Roman"/>
          <w:sz w:val="24"/>
          <w:szCs w:val="24"/>
        </w:rPr>
        <w:t xml:space="preserve"> </w:t>
      </w:r>
      <w:r w:rsidR="00A743E5" w:rsidRPr="0098647E">
        <w:rPr>
          <w:rFonts w:ascii="Times New Roman" w:eastAsia="Times New Roman" w:hAnsi="Times New Roman" w:cs="Times New Roman"/>
          <w:sz w:val="24"/>
          <w:szCs w:val="24"/>
        </w:rPr>
        <w:t xml:space="preserve">tiên </w:t>
      </w:r>
      <w:r w:rsidR="002A665A" w:rsidRPr="0098647E">
        <w:rPr>
          <w:rFonts w:ascii="Times New Roman" w:eastAsia="Times New Roman" w:hAnsi="Times New Roman" w:cs="Times New Roman"/>
          <w:sz w:val="24"/>
          <w:szCs w:val="24"/>
        </w:rPr>
        <w:t xml:space="preserve">lượng khác nhau giữa các </w:t>
      </w:r>
      <w:r w:rsidR="00A743E5" w:rsidRPr="0098647E">
        <w:rPr>
          <w:rFonts w:ascii="Times New Roman" w:eastAsia="Times New Roman" w:hAnsi="Times New Roman" w:cs="Times New Roman"/>
          <w:sz w:val="24"/>
          <w:szCs w:val="24"/>
        </w:rPr>
        <w:t>nhóm bệnh có tình trạng</w:t>
      </w:r>
      <w:r w:rsidR="002A665A" w:rsidRPr="0098647E">
        <w:rPr>
          <w:rFonts w:ascii="Times New Roman" w:eastAsia="Times New Roman" w:hAnsi="Times New Roman" w:cs="Times New Roman"/>
          <w:sz w:val="24"/>
          <w:szCs w:val="24"/>
        </w:rPr>
        <w:t xml:space="preserve"> </w:t>
      </w:r>
      <w:r w:rsidR="00077B4C" w:rsidRPr="0098647E">
        <w:rPr>
          <w:rFonts w:ascii="Times New Roman" w:eastAsia="Times New Roman" w:hAnsi="Times New Roman" w:cs="Times New Roman"/>
          <w:sz w:val="24"/>
          <w:szCs w:val="24"/>
        </w:rPr>
        <w:t>HER2</w:t>
      </w:r>
      <w:r w:rsidR="002A665A" w:rsidRPr="0098647E">
        <w:rPr>
          <w:rFonts w:ascii="Times New Roman" w:eastAsia="Times New Roman" w:hAnsi="Times New Roman" w:cs="Times New Roman"/>
          <w:sz w:val="24"/>
          <w:szCs w:val="24"/>
        </w:rPr>
        <w:t xml:space="preserve">-thấp và </w:t>
      </w:r>
      <w:r w:rsidR="00077B4C" w:rsidRPr="0098647E">
        <w:rPr>
          <w:rFonts w:ascii="Times New Roman" w:eastAsia="Times New Roman" w:hAnsi="Times New Roman" w:cs="Times New Roman"/>
          <w:sz w:val="24"/>
          <w:szCs w:val="24"/>
        </w:rPr>
        <w:t>HER2</w:t>
      </w:r>
      <w:r w:rsidR="002A665A" w:rsidRPr="0098647E">
        <w:rPr>
          <w:rFonts w:ascii="Times New Roman" w:eastAsia="Times New Roman" w:hAnsi="Times New Roman" w:cs="Times New Roman"/>
          <w:sz w:val="24"/>
          <w:szCs w:val="24"/>
        </w:rPr>
        <w:t>-0</w:t>
      </w:r>
      <w:r w:rsidR="00ED590F" w:rsidRPr="0098647E">
        <w:rPr>
          <w:rFonts w:ascii="Times New Roman" w:eastAsia="Times New Roman" w:hAnsi="Times New Roman" w:cs="Times New Roman"/>
          <w:sz w:val="24"/>
          <w:szCs w:val="24"/>
        </w:rPr>
        <w:fldChar w:fldCharType="begin"/>
      </w:r>
      <w:r w:rsidR="00ED590F" w:rsidRPr="0098647E">
        <w:rPr>
          <w:rFonts w:ascii="Times New Roman" w:eastAsia="Times New Roman" w:hAnsi="Times New Roman" w:cs="Times New Roman"/>
          <w:sz w:val="24"/>
          <w:szCs w:val="24"/>
        </w:rPr>
        <w:instrText xml:space="preserve"> ADDIN ZOTERO_ITEM CSL_CITATION {"citationID":"b9R1P9vM","properties":{"formattedCitation":"\\super 5\\nosupersub{}","plainCitation":"5","noteIndex":0},"citationItems":[{"id":780,"uris":["http://zotero.org/users/6192396/items/4YM8A85L"],"itemData":{"id":780,"type":"article-journal","abstract":"BACKGROUND: Recently, novel antibody--drug conjugates (ADCs) showed clinical activity in a subset of advanced human epidermal growth factor receptor 2 (HER2)-negative patients. We investigated the prognostic significance of HER2-low and HER2-zero tumours.\nPATIENTS AND METHODS: The retrospective cohort study included 410 consecutive node-negative breast cancer patients without adjuvant systemic therapy treated between 1985 and 2000 (median follow-up: 16.73 [IQR 8.58-23.45] years). 351 (85.6%) were HER-2 negative and subdivided into HER2-zero (immunohistochemistry [IHC] score 0) and HER2-low (IHC score 1+ or 2+/in situ hybridisation [ISH]-negative). HER2 gene expression was available in 170 (48.4%) patients. Differences in HER2 status for immunohistochemistry, gene expression and clinico-pathologic parameters were assessed using Fisher's exact test, Pearson's correlation and Mann-Whitney test. Prognosis was investigated using the Kaplan-Meier method and Cox regression analyses.\nRESULTS: Of the 351 HER2-negative patients, 198 (56.4%) had HER2-low tumours and 153 (43.6%) were HER2-zero. Significant differences between HER2-zero and HER2-low tumours were found in histologic grading (P = 0.001), Ki-67 (P = 0.013) and HER2 gene expression (P = 0.002). HER2-low patients had significantly longer disease-free survival (DFS) (15-year rate: 67.5% [95% CI 61.0-74.7] vs. 47.3% [95% CI 39.9-56.1], P &amp;lt; 0.001) and overall survival (OS) (15-year rate: 75.4% [95% CI 69.4-81.9] vs. 66.8% [95% CI 59.5-74.9], P = 0.009). The OS difference was observed in hormone receptor (HR)-positive (P = 0.039) but not HR-negative (P = 0.086) tumours. The results of multivariable analyses confirmed the independent prognostic significance of HER2 status (DFS: HR, 0.546; 95% CI, 0.402-0.743; P &amp;lt; 0.001; OS: HR, 0.653; 95% CI, 0.458-0.932; P = 0.019).\nCONCLUSION: HER2-low patients had a better survival than HER2-zero patients.","container-title":"European Journal of Cancer (Oxford, England: 1990)","DOI":"10.1016/j.ejca.2022.06.012","ISSN":"1879-0852","journalAbbreviation":"Eur J Cancer","language":"eng","note":"PMID: 35839597","page":"10-19","source":"PubMed","title":"Long-term prognostic significance of HER2-low and HER2-zero in node-negative breast cancer","volume":"173","author":[{"family":"Almstedt","given":"Katrin"},{"family":"Heimes","given":"Anne-Sophie"},{"family":"Kappenberg","given":"Franziska"},{"family":"Battista","given":"Marco J."},{"family":"Lehr","given":"Hans-Anton"},{"family":"Krajnak","given":"Slavomir"},{"family":"Lebrecht","given":"Antje"},{"family":"Gehrmann","given":"Mathias"},{"family":"Stewen","given":"Kathrin"},{"family":"Brenner","given":"Walburgis"},{"family":"Weikel","given":"Wolfgang"},{"family":"Rahnenführer","given":"Jörg"},{"family":"Hengstler","given":"Jan G."},{"family":"Hasenburg","given":"Annette"},{"family":"Schmidt","given":"Marcus"}],"issued":{"date-parts":[["2022",9]]}}}],"schema":"https://github.com/citation-style-language/schema/raw/master/csl-citation.json"} </w:instrText>
      </w:r>
      <w:r w:rsidR="00ED590F" w:rsidRPr="0098647E">
        <w:rPr>
          <w:rFonts w:ascii="Times New Roman" w:eastAsia="Times New Roman" w:hAnsi="Times New Roman" w:cs="Times New Roman"/>
          <w:sz w:val="24"/>
          <w:szCs w:val="24"/>
        </w:rPr>
        <w:fldChar w:fldCharType="separate"/>
      </w:r>
      <w:r w:rsidR="00ED590F" w:rsidRPr="0098647E">
        <w:rPr>
          <w:rFonts w:ascii="Times New Roman" w:hAnsi="Times New Roman" w:cs="Times New Roman"/>
          <w:kern w:val="0"/>
          <w:sz w:val="24"/>
          <w:szCs w:val="24"/>
          <w:vertAlign w:val="superscript"/>
        </w:rPr>
        <w:t>5</w:t>
      </w:r>
      <w:r w:rsidR="00ED590F" w:rsidRPr="0098647E">
        <w:rPr>
          <w:rFonts w:ascii="Times New Roman" w:eastAsia="Times New Roman" w:hAnsi="Times New Roman" w:cs="Times New Roman"/>
          <w:sz w:val="24"/>
          <w:szCs w:val="24"/>
        </w:rPr>
        <w:fldChar w:fldCharType="end"/>
      </w:r>
      <w:r w:rsidR="0036169B" w:rsidRPr="0098647E">
        <w:rPr>
          <w:rFonts w:ascii="Times New Roman" w:eastAsia="Times New Roman" w:hAnsi="Times New Roman" w:cs="Times New Roman"/>
          <w:sz w:val="24"/>
          <w:szCs w:val="24"/>
        </w:rPr>
        <w:t xml:space="preserve"> </w:t>
      </w:r>
      <w:r w:rsidR="002A665A" w:rsidRPr="0098647E">
        <w:rPr>
          <w:rFonts w:ascii="Times New Roman" w:eastAsia="Times New Roman" w:hAnsi="Times New Roman" w:cs="Times New Roman"/>
          <w:sz w:val="24"/>
          <w:szCs w:val="24"/>
        </w:rPr>
        <w:t xml:space="preserve">và thử nghiệm lâm sàng (DESTINY-Breast04) </w:t>
      </w:r>
      <w:r w:rsidR="00ED590F" w:rsidRPr="0098647E">
        <w:rPr>
          <w:rFonts w:ascii="Times New Roman" w:eastAsia="Times New Roman" w:hAnsi="Times New Roman" w:cs="Times New Roman"/>
          <w:sz w:val="24"/>
          <w:szCs w:val="24"/>
        </w:rPr>
        <w:t xml:space="preserve">trên với các trường hợp </w:t>
      </w:r>
      <w:r w:rsidR="00077B4C" w:rsidRPr="0098647E">
        <w:rPr>
          <w:rFonts w:ascii="Times New Roman" w:eastAsia="Times New Roman" w:hAnsi="Times New Roman" w:cs="Times New Roman"/>
          <w:sz w:val="24"/>
          <w:szCs w:val="24"/>
        </w:rPr>
        <w:t>HER2</w:t>
      </w:r>
      <w:r w:rsidR="00ED590F" w:rsidRPr="0098647E">
        <w:rPr>
          <w:rFonts w:ascii="Times New Roman" w:eastAsia="Times New Roman" w:hAnsi="Times New Roman" w:cs="Times New Roman"/>
          <w:sz w:val="24"/>
          <w:szCs w:val="24"/>
        </w:rPr>
        <w:t xml:space="preserve">-thấp </w:t>
      </w:r>
      <w:r w:rsidR="002A665A" w:rsidRPr="0098647E">
        <w:rPr>
          <w:rFonts w:ascii="Times New Roman" w:eastAsia="Times New Roman" w:hAnsi="Times New Roman" w:cs="Times New Roman"/>
          <w:sz w:val="24"/>
          <w:szCs w:val="24"/>
        </w:rPr>
        <w:t xml:space="preserve">đã chỉ ra rằng trastuzumab deruxtecan có hiệu quả cao trong ung thư vú </w:t>
      </w:r>
      <w:r w:rsidR="00077B4C" w:rsidRPr="0098647E">
        <w:rPr>
          <w:rFonts w:ascii="Times New Roman" w:eastAsia="Times New Roman" w:hAnsi="Times New Roman" w:cs="Times New Roman"/>
          <w:sz w:val="24"/>
          <w:szCs w:val="24"/>
        </w:rPr>
        <w:t>HER2</w:t>
      </w:r>
      <w:r w:rsidR="002A665A" w:rsidRPr="0098647E">
        <w:rPr>
          <w:rFonts w:ascii="Times New Roman" w:eastAsia="Times New Roman" w:hAnsi="Times New Roman" w:cs="Times New Roman"/>
          <w:sz w:val="24"/>
          <w:szCs w:val="24"/>
        </w:rPr>
        <w:t>-thấp di căn</w:t>
      </w:r>
      <w:r w:rsidR="00F27D9E" w:rsidRPr="0098647E">
        <w:rPr>
          <w:rFonts w:ascii="Times New Roman" w:eastAsia="Times New Roman" w:hAnsi="Times New Roman" w:cs="Times New Roman"/>
          <w:sz w:val="24"/>
          <w:szCs w:val="24"/>
        </w:rPr>
        <w:fldChar w:fldCharType="begin"/>
      </w:r>
      <w:r w:rsidR="00F27D9E" w:rsidRPr="0098647E">
        <w:rPr>
          <w:rFonts w:ascii="Times New Roman" w:eastAsia="Times New Roman" w:hAnsi="Times New Roman" w:cs="Times New Roman"/>
          <w:sz w:val="24"/>
          <w:szCs w:val="24"/>
        </w:rPr>
        <w:instrText xml:space="preserve"> ADDIN ZOTERO_ITEM CSL_CITATION {"citationID":"ZiDWSErS","properties":{"formattedCitation":"\\super 6\\nosupersub{}","plainCitation":"6","noteIndex":0},"citationItems":[{"id":782,"uris":["http://zotero.org/users/6192396/items/TQ2PYFKL"],"itemData":{"id":782,"type":"webpage","title":"Trastuzumab Deruxtecan in Previously Treated HER2-Low Advanced Breast Cancer | New England Journal of Medicine","URL":"https://www.nejm.org/doi/full/10.1056/NEJMoa2203690","accessed":{"date-parts":[["2024",7,27]]}}}],"schema":"https://github.com/citation-style-language/schema/raw/master/csl-citation.json"} </w:instrText>
      </w:r>
      <w:r w:rsidR="00F27D9E" w:rsidRPr="0098647E">
        <w:rPr>
          <w:rFonts w:ascii="Times New Roman" w:eastAsia="Times New Roman" w:hAnsi="Times New Roman" w:cs="Times New Roman"/>
          <w:sz w:val="24"/>
          <w:szCs w:val="24"/>
        </w:rPr>
        <w:fldChar w:fldCharType="separate"/>
      </w:r>
      <w:r w:rsidR="00F27D9E" w:rsidRPr="0098647E">
        <w:rPr>
          <w:rFonts w:ascii="Times New Roman" w:hAnsi="Times New Roman" w:cs="Times New Roman"/>
          <w:kern w:val="0"/>
          <w:sz w:val="24"/>
          <w:szCs w:val="24"/>
          <w:vertAlign w:val="superscript"/>
        </w:rPr>
        <w:t>6</w:t>
      </w:r>
      <w:r w:rsidR="00F27D9E" w:rsidRPr="0098647E">
        <w:rPr>
          <w:rFonts w:ascii="Times New Roman" w:eastAsia="Times New Roman" w:hAnsi="Times New Roman" w:cs="Times New Roman"/>
          <w:sz w:val="24"/>
          <w:szCs w:val="24"/>
        </w:rPr>
        <w:fldChar w:fldCharType="end"/>
      </w:r>
      <w:r w:rsidR="002068FF">
        <w:rPr>
          <w:rFonts w:ascii="Times New Roman" w:eastAsia="Times New Roman" w:hAnsi="Times New Roman" w:cs="Times New Roman"/>
          <w:sz w:val="24"/>
          <w:szCs w:val="24"/>
        </w:rPr>
        <w:t>.</w:t>
      </w:r>
      <w:r w:rsidR="002A665A" w:rsidRPr="0098647E">
        <w:rPr>
          <w:rFonts w:ascii="Times New Roman" w:eastAsia="Times New Roman" w:hAnsi="Times New Roman" w:cs="Times New Roman"/>
          <w:sz w:val="24"/>
          <w:szCs w:val="24"/>
        </w:rPr>
        <w:t xml:space="preserve"> Do đó, người ta đưa ra giả thuyết rằng nguy cơ tái phát và hiệu quả điều trị có thể khác nhau giữa các trường hợp </w:t>
      </w:r>
      <w:r w:rsidR="00077B4C" w:rsidRPr="0098647E">
        <w:rPr>
          <w:rFonts w:ascii="Times New Roman" w:eastAsia="Times New Roman" w:hAnsi="Times New Roman" w:cs="Times New Roman"/>
          <w:sz w:val="24"/>
          <w:szCs w:val="24"/>
        </w:rPr>
        <w:t>HER2</w:t>
      </w:r>
      <w:r w:rsidR="002A665A" w:rsidRPr="0098647E">
        <w:rPr>
          <w:rFonts w:ascii="Times New Roman" w:eastAsia="Times New Roman" w:hAnsi="Times New Roman" w:cs="Times New Roman"/>
          <w:sz w:val="24"/>
          <w:szCs w:val="24"/>
        </w:rPr>
        <w:t xml:space="preserve">-thấp và </w:t>
      </w:r>
      <w:r w:rsidR="00077B4C" w:rsidRPr="0098647E">
        <w:rPr>
          <w:rFonts w:ascii="Times New Roman" w:eastAsia="Times New Roman" w:hAnsi="Times New Roman" w:cs="Times New Roman"/>
          <w:sz w:val="24"/>
          <w:szCs w:val="24"/>
        </w:rPr>
        <w:t>HER2</w:t>
      </w:r>
      <w:r w:rsidR="002A665A" w:rsidRPr="0098647E">
        <w:rPr>
          <w:rFonts w:ascii="Times New Roman" w:eastAsia="Times New Roman" w:hAnsi="Times New Roman" w:cs="Times New Roman"/>
          <w:sz w:val="24"/>
          <w:szCs w:val="24"/>
        </w:rPr>
        <w:t xml:space="preserve">-0 của TNBC giai đoạn </w:t>
      </w:r>
      <w:r w:rsidR="00F27D9E" w:rsidRPr="0098647E">
        <w:rPr>
          <w:rFonts w:ascii="Times New Roman" w:eastAsia="Times New Roman" w:hAnsi="Times New Roman" w:cs="Times New Roman"/>
          <w:sz w:val="24"/>
          <w:szCs w:val="24"/>
        </w:rPr>
        <w:t>sớm</w:t>
      </w:r>
      <w:r w:rsidR="0098647E">
        <w:rPr>
          <w:rFonts w:ascii="Times New Roman" w:eastAsia="Times New Roman" w:hAnsi="Times New Roman" w:cs="Times New Roman"/>
          <w:sz w:val="24"/>
          <w:szCs w:val="24"/>
        </w:rPr>
        <w:t>,</w:t>
      </w:r>
      <w:r w:rsidR="00F64933" w:rsidRPr="0098647E">
        <w:rPr>
          <w:rFonts w:ascii="Times New Roman" w:eastAsia="Times New Roman" w:hAnsi="Times New Roman" w:cs="Times New Roman"/>
          <w:sz w:val="24"/>
          <w:szCs w:val="24"/>
        </w:rPr>
        <w:t xml:space="preserve"> Bên cạnh đó, m</w:t>
      </w:r>
      <w:r w:rsidR="006C724D" w:rsidRPr="0098647E">
        <w:rPr>
          <w:rFonts w:ascii="Times New Roman" w:eastAsia="Times New Roman" w:hAnsi="Times New Roman" w:cs="Times New Roman"/>
          <w:sz w:val="24"/>
          <w:szCs w:val="24"/>
        </w:rPr>
        <w:t xml:space="preserve">ột vài nghiên cứu gần đây đã chứng minh rằng xâm nhập lympho mô u </w:t>
      </w:r>
      <w:r w:rsidR="00F64933" w:rsidRPr="0098647E">
        <w:rPr>
          <w:rFonts w:ascii="Times New Roman" w:eastAsia="Times New Roman" w:hAnsi="Times New Roman" w:cs="Times New Roman"/>
          <w:sz w:val="24"/>
          <w:szCs w:val="24"/>
        </w:rPr>
        <w:t xml:space="preserve">(TILs) </w:t>
      </w:r>
      <w:r w:rsidR="006C724D" w:rsidRPr="0098647E">
        <w:rPr>
          <w:rFonts w:ascii="Times New Roman" w:eastAsia="Times New Roman" w:hAnsi="Times New Roman" w:cs="Times New Roman"/>
          <w:sz w:val="24"/>
          <w:szCs w:val="24"/>
        </w:rPr>
        <w:t xml:space="preserve">trong ung thư vú giai đoạn sớm thể bộ ba âm tính và </w:t>
      </w:r>
      <w:r w:rsidR="00077B4C" w:rsidRPr="0098647E">
        <w:rPr>
          <w:rFonts w:ascii="Times New Roman" w:eastAsia="Times New Roman" w:hAnsi="Times New Roman" w:cs="Times New Roman"/>
          <w:sz w:val="24"/>
          <w:szCs w:val="24"/>
        </w:rPr>
        <w:t>HER2</w:t>
      </w:r>
      <w:r w:rsidR="006C724D" w:rsidRPr="0098647E">
        <w:rPr>
          <w:rFonts w:ascii="Times New Roman" w:eastAsia="Times New Roman" w:hAnsi="Times New Roman" w:cs="Times New Roman"/>
          <w:sz w:val="24"/>
          <w:szCs w:val="24"/>
        </w:rPr>
        <w:t xml:space="preserve"> dương tính có tương quan với </w:t>
      </w:r>
      <w:r w:rsidR="00C97BE2" w:rsidRPr="0098647E">
        <w:rPr>
          <w:rFonts w:ascii="Times New Roman" w:eastAsia="Times New Roman" w:hAnsi="Times New Roman" w:cs="Times New Roman"/>
          <w:sz w:val="24"/>
          <w:szCs w:val="24"/>
        </w:rPr>
        <w:t>tiên lượng t</w:t>
      </w:r>
      <w:r w:rsidR="006C724D" w:rsidRPr="0098647E">
        <w:rPr>
          <w:rFonts w:ascii="Times New Roman" w:eastAsia="Times New Roman" w:hAnsi="Times New Roman" w:cs="Times New Roman"/>
          <w:sz w:val="24"/>
          <w:szCs w:val="24"/>
        </w:rPr>
        <w:t>ốt hơn đáng kể</w:t>
      </w:r>
      <w:r w:rsidR="00565B38" w:rsidRPr="0098647E">
        <w:rPr>
          <w:rFonts w:ascii="Times New Roman" w:eastAsia="Times New Roman" w:hAnsi="Times New Roman" w:cs="Times New Roman"/>
          <w:sz w:val="24"/>
          <w:szCs w:val="24"/>
        </w:rPr>
        <w:fldChar w:fldCharType="begin"/>
      </w:r>
      <w:r w:rsidR="00C72AB0" w:rsidRPr="0098647E">
        <w:rPr>
          <w:rFonts w:ascii="Times New Roman" w:eastAsia="Times New Roman" w:hAnsi="Times New Roman" w:cs="Times New Roman"/>
          <w:sz w:val="24"/>
          <w:szCs w:val="24"/>
        </w:rPr>
        <w:instrText xml:space="preserve"> ADDIN ZOTERO_ITEM CSL_CITATION {"citationID":"20z9UOl1","properties":{"formattedCitation":"\\super 7\\nosupersub{}","plainCitation":"7","noteIndex":0},"citationItems":[{"id":745,"uris":["http://zotero.org/users/6192396/items/VNBE58F7"],"itemData":{"id":745,"type":"article-journal","abstract":"The clinical relevance of the host immune system in breast cancer has long been unexplored. Studies developed over the past decade have highlighted the biological heterogeneity of breast cancer, prompting researchers to investigate whether the role of the immune system in this malignancy is similar across different molecular subtypes of the disease. The presence of high levels of lymphocytic infiltration has been consistently associated with a more-favourable prognosis in patients with early stage triple-negative and HER2-positive breast cancer. These infiltrates seem to reflect favourable host antitumour immune responses, suggesting that immune activation is important for improving survival outcomes. In this Review, we discuss the composition of the immune infiltrates observed in breast cancers, as well as data supporting the clinical relevance of host antitumour immunity, as represented by lymphocytic infiltration, and how this biomarker could be used in the clinical setting. We also discuss the rationale for enhancing immunity in breast cancer, including early data on the efficacy of T-cell checkpoint inhibition in this setting.","container-title":"Nature Reviews. Clinical Oncology","DOI":"10.1038/nrclinonc.2015.215","ISSN":"1759-4782","issue":"4","journalAbbreviation":"Nat Rev Clin Oncol","language":"eng","note":"PMID: 26667975","page":"228-241","source":"PubMed","title":"Clinical relevance of host immunity in breast cancer: from TILs to the clinic","title-short":"Clinical relevance of host immunity in breast cancer","volume":"13","author":[{"family":"Savas","given":"Peter"},{"family":"Salgado","given":"Roberto"},{"family":"Denkert","given":"Carsten"},{"family":"Sotiriou","given":"Christos"},{"family":"Darcy","given":"Phillip K."},{"family":"Smyth","given":"Mark J."},{"family":"Loi","given":"Sherene"}],"issued":{"date-parts":[["2016",4]]}}}],"schema":"https://github.com/citation-style-language/schema/raw/master/csl-citation.json"} </w:instrText>
      </w:r>
      <w:r w:rsidR="00565B38" w:rsidRPr="0098647E">
        <w:rPr>
          <w:rFonts w:ascii="Times New Roman" w:eastAsia="Times New Roman" w:hAnsi="Times New Roman" w:cs="Times New Roman"/>
          <w:sz w:val="24"/>
          <w:szCs w:val="24"/>
        </w:rPr>
        <w:fldChar w:fldCharType="separate"/>
      </w:r>
      <w:r w:rsidR="00C72AB0" w:rsidRPr="0098647E">
        <w:rPr>
          <w:rFonts w:ascii="Times New Roman" w:hAnsi="Times New Roman" w:cs="Times New Roman"/>
          <w:kern w:val="0"/>
          <w:sz w:val="24"/>
          <w:szCs w:val="24"/>
          <w:vertAlign w:val="superscript"/>
        </w:rPr>
        <w:t>7</w:t>
      </w:r>
      <w:r w:rsidR="00565B38" w:rsidRPr="0098647E">
        <w:rPr>
          <w:rFonts w:ascii="Times New Roman" w:eastAsia="Times New Roman" w:hAnsi="Times New Roman" w:cs="Times New Roman"/>
          <w:sz w:val="24"/>
          <w:szCs w:val="24"/>
        </w:rPr>
        <w:fldChar w:fldCharType="end"/>
      </w:r>
      <w:r w:rsidR="002068FF">
        <w:rPr>
          <w:rFonts w:ascii="Times New Roman" w:eastAsia="Times New Roman" w:hAnsi="Times New Roman" w:cs="Times New Roman"/>
          <w:sz w:val="24"/>
          <w:szCs w:val="24"/>
        </w:rPr>
        <w:t>.</w:t>
      </w:r>
      <w:r w:rsidR="00F64933" w:rsidRPr="0098647E">
        <w:rPr>
          <w:rFonts w:ascii="Times New Roman" w:eastAsia="Times New Roman" w:hAnsi="Times New Roman" w:cs="Times New Roman"/>
          <w:sz w:val="24"/>
          <w:szCs w:val="24"/>
        </w:rPr>
        <w:t xml:space="preserve"> Những bằng chứng này ủng hộ việc sử dụng tình trạng </w:t>
      </w:r>
      <w:r w:rsidR="00077B4C" w:rsidRPr="0098647E">
        <w:rPr>
          <w:rFonts w:ascii="Times New Roman" w:eastAsia="Times New Roman" w:hAnsi="Times New Roman" w:cs="Times New Roman"/>
          <w:sz w:val="24"/>
          <w:szCs w:val="24"/>
        </w:rPr>
        <w:t>HER2</w:t>
      </w:r>
      <w:r w:rsidR="00F64933" w:rsidRPr="0098647E">
        <w:rPr>
          <w:rFonts w:ascii="Times New Roman" w:eastAsia="Times New Roman" w:hAnsi="Times New Roman" w:cs="Times New Roman"/>
          <w:sz w:val="24"/>
          <w:szCs w:val="24"/>
        </w:rPr>
        <w:t xml:space="preserve"> và TILs như một yếu tố tiên lượng </w:t>
      </w:r>
      <w:r w:rsidR="0022040C" w:rsidRPr="0098647E">
        <w:rPr>
          <w:rFonts w:ascii="Times New Roman" w:eastAsia="Times New Roman" w:hAnsi="Times New Roman" w:cs="Times New Roman"/>
          <w:sz w:val="24"/>
          <w:szCs w:val="24"/>
        </w:rPr>
        <w:t xml:space="preserve">và tiếp cận các chiến lược điều trị </w:t>
      </w:r>
      <w:r w:rsidR="00F64933" w:rsidRPr="0098647E">
        <w:rPr>
          <w:rFonts w:ascii="Times New Roman" w:eastAsia="Times New Roman" w:hAnsi="Times New Roman" w:cs="Times New Roman"/>
          <w:sz w:val="24"/>
          <w:szCs w:val="24"/>
        </w:rPr>
        <w:t>mới trong tương l</w:t>
      </w:r>
      <w:r w:rsidR="0022040C" w:rsidRPr="0098647E">
        <w:rPr>
          <w:rFonts w:ascii="Times New Roman" w:eastAsia="Times New Roman" w:hAnsi="Times New Roman" w:cs="Times New Roman"/>
          <w:sz w:val="24"/>
          <w:szCs w:val="24"/>
        </w:rPr>
        <w:t>a</w:t>
      </w:r>
      <w:r w:rsidR="00F64933" w:rsidRPr="0098647E">
        <w:rPr>
          <w:rFonts w:ascii="Times New Roman" w:eastAsia="Times New Roman" w:hAnsi="Times New Roman" w:cs="Times New Roman"/>
          <w:sz w:val="24"/>
          <w:szCs w:val="24"/>
        </w:rPr>
        <w:t>i trong ung thư vú thể bộ ba âm tính</w:t>
      </w:r>
      <w:r w:rsidR="002068FF">
        <w:rPr>
          <w:rFonts w:ascii="Times New Roman" w:eastAsia="Times New Roman" w:hAnsi="Times New Roman" w:cs="Times New Roman"/>
          <w:sz w:val="24"/>
          <w:szCs w:val="24"/>
        </w:rPr>
        <w:t>.</w:t>
      </w:r>
      <w:r w:rsidR="00B109D6" w:rsidRPr="0098647E">
        <w:rPr>
          <w:rFonts w:ascii="Times New Roman" w:eastAsia="Times New Roman" w:hAnsi="Times New Roman" w:cs="Times New Roman"/>
          <w:sz w:val="24"/>
          <w:szCs w:val="24"/>
        </w:rPr>
        <w:t xml:space="preserve"> Những kết quả này có thể góp phần vào các phương pháp điều trị </w:t>
      </w:r>
      <w:r w:rsidR="00A743E5" w:rsidRPr="0098647E">
        <w:rPr>
          <w:rFonts w:ascii="Times New Roman" w:eastAsia="Times New Roman" w:hAnsi="Times New Roman" w:cs="Times New Roman"/>
          <w:sz w:val="24"/>
          <w:szCs w:val="24"/>
        </w:rPr>
        <w:t>cá thể</w:t>
      </w:r>
      <w:r w:rsidR="00B109D6" w:rsidRPr="0098647E">
        <w:rPr>
          <w:rFonts w:ascii="Times New Roman" w:eastAsia="Times New Roman" w:hAnsi="Times New Roman" w:cs="Times New Roman"/>
          <w:sz w:val="24"/>
          <w:szCs w:val="24"/>
        </w:rPr>
        <w:t xml:space="preserve"> hóa cho quần thể TNBC</w:t>
      </w:r>
      <w:r w:rsidR="0098647E">
        <w:rPr>
          <w:rFonts w:ascii="Times New Roman" w:eastAsia="Times New Roman" w:hAnsi="Times New Roman" w:cs="Times New Roman"/>
          <w:sz w:val="24"/>
          <w:szCs w:val="24"/>
        </w:rPr>
        <w:t>,</w:t>
      </w:r>
      <w:r w:rsidR="00E507CA" w:rsidRPr="0098647E">
        <w:rPr>
          <w:rFonts w:ascii="Times New Roman" w:hAnsi="Times New Roman" w:cs="Times New Roman"/>
          <w:sz w:val="24"/>
          <w:szCs w:val="24"/>
        </w:rPr>
        <w:t xml:space="preserve"> </w:t>
      </w:r>
      <w:r w:rsidR="00E507CA" w:rsidRPr="0098647E">
        <w:rPr>
          <w:rFonts w:ascii="Times New Roman" w:eastAsia="Times New Roman" w:hAnsi="Times New Roman" w:cs="Times New Roman"/>
          <w:sz w:val="24"/>
          <w:szCs w:val="24"/>
        </w:rPr>
        <w:t xml:space="preserve">Tại Việt Nam, ảnh hưởng của bộc lộ </w:t>
      </w:r>
      <w:r w:rsidR="00077B4C" w:rsidRPr="0098647E">
        <w:rPr>
          <w:rFonts w:ascii="Times New Roman" w:eastAsia="Times New Roman" w:hAnsi="Times New Roman" w:cs="Times New Roman"/>
          <w:sz w:val="24"/>
          <w:szCs w:val="24"/>
        </w:rPr>
        <w:t>HER2</w:t>
      </w:r>
      <w:r w:rsidR="00E507CA" w:rsidRPr="0098647E">
        <w:rPr>
          <w:rFonts w:ascii="Times New Roman" w:eastAsia="Times New Roman" w:hAnsi="Times New Roman" w:cs="Times New Roman"/>
          <w:sz w:val="24"/>
          <w:szCs w:val="24"/>
        </w:rPr>
        <w:t xml:space="preserve"> thấp và xâm nhập lympho mô u lên các đặc điểm lâm sàng  của khối u và giá trị tiên lượng trong ung thư vú bộ ba âm tính giai đoạn sớm chưa </w:t>
      </w:r>
      <w:r w:rsidR="002D0197" w:rsidRPr="0098647E">
        <w:rPr>
          <w:rFonts w:ascii="Times New Roman" w:eastAsia="Times New Roman" w:hAnsi="Times New Roman" w:cs="Times New Roman"/>
          <w:sz w:val="24"/>
          <w:szCs w:val="24"/>
        </w:rPr>
        <w:t>có nhiều nghiên cứu</w:t>
      </w:r>
      <w:r w:rsidR="002068FF">
        <w:rPr>
          <w:rFonts w:ascii="Times New Roman" w:eastAsia="Times New Roman" w:hAnsi="Times New Roman" w:cs="Times New Roman"/>
          <w:sz w:val="24"/>
          <w:szCs w:val="24"/>
        </w:rPr>
        <w:t>.</w:t>
      </w:r>
      <w:r w:rsidR="00E507CA" w:rsidRPr="0098647E">
        <w:rPr>
          <w:rFonts w:ascii="Times New Roman" w:eastAsia="Times New Roman" w:hAnsi="Times New Roman" w:cs="Times New Roman"/>
          <w:sz w:val="24"/>
          <w:szCs w:val="24"/>
        </w:rPr>
        <w:t xml:space="preserve"> </w:t>
      </w:r>
      <w:r w:rsidR="002D0197" w:rsidRPr="0098647E">
        <w:rPr>
          <w:rFonts w:ascii="Times New Roman" w:eastAsia="Times New Roman" w:hAnsi="Times New Roman" w:cs="Times New Roman"/>
          <w:sz w:val="24"/>
          <w:szCs w:val="24"/>
        </w:rPr>
        <w:t>Vì vậy, m</w:t>
      </w:r>
      <w:r w:rsidR="00E507CA" w:rsidRPr="0098647E">
        <w:rPr>
          <w:rFonts w:ascii="Times New Roman" w:eastAsia="Times New Roman" w:hAnsi="Times New Roman" w:cs="Times New Roman"/>
          <w:sz w:val="24"/>
          <w:szCs w:val="24"/>
        </w:rPr>
        <w:t>ục tiêu của nghiên cứu này nhằm đánh giá giá trị tiên lượng và mối liên quan của các yếu tố trên với các đặc điểm lâm sàng trên nhóm bệnh nhân ung thư vú bộ ba âm tính giai đoạn sớm</w:t>
      </w:r>
      <w:r w:rsidR="002D0197" w:rsidRPr="0098647E">
        <w:rPr>
          <w:rFonts w:ascii="Times New Roman" w:eastAsia="Times New Roman" w:hAnsi="Times New Roman" w:cs="Times New Roman"/>
          <w:sz w:val="24"/>
          <w:szCs w:val="24"/>
        </w:rPr>
        <w:t xml:space="preserve"> trên quần thể bệnh nhân Việt Nam</w:t>
      </w:r>
      <w:r w:rsidR="002068FF">
        <w:rPr>
          <w:rFonts w:ascii="Times New Roman" w:eastAsia="Times New Roman" w:hAnsi="Times New Roman" w:cs="Times New Roman"/>
          <w:sz w:val="24"/>
          <w:szCs w:val="24"/>
        </w:rPr>
        <w:t>.</w:t>
      </w:r>
    </w:p>
    <w:p w14:paraId="4DA1B32A" w14:textId="718519A4" w:rsidR="003B1319" w:rsidRPr="0098647E" w:rsidRDefault="00DC7E0C" w:rsidP="00902398">
      <w:pPr>
        <w:pStyle w:val="ListParagraph"/>
        <w:numPr>
          <w:ilvl w:val="0"/>
          <w:numId w:val="5"/>
        </w:numPr>
        <w:spacing w:before="240" w:after="240" w:line="360" w:lineRule="auto"/>
        <w:jc w:val="both"/>
        <w:rPr>
          <w:rFonts w:ascii="Times New Roman" w:eastAsia="Times New Roman" w:hAnsi="Times New Roman" w:cs="Times New Roman"/>
          <w:b/>
          <w:sz w:val="24"/>
          <w:szCs w:val="24"/>
        </w:rPr>
      </w:pPr>
      <w:bookmarkStart w:id="1" w:name="bibrLink"/>
      <w:bookmarkEnd w:id="0"/>
      <w:r w:rsidRPr="0098647E">
        <w:rPr>
          <w:rFonts w:ascii="Times New Roman" w:eastAsia="Times New Roman" w:hAnsi="Times New Roman" w:cs="Times New Roman"/>
          <w:b/>
          <w:sz w:val="24"/>
          <w:szCs w:val="24"/>
        </w:rPr>
        <w:lastRenderedPageBreak/>
        <w:t>ĐỐI TƯỢNG VÀ PHƯƠNG PHÁP NGHIÊN CỨU</w:t>
      </w:r>
    </w:p>
    <w:p w14:paraId="63341763" w14:textId="24F9C05C" w:rsidR="00D647E4" w:rsidRPr="0098647E" w:rsidRDefault="002800DB" w:rsidP="00902398">
      <w:pPr>
        <w:spacing w:before="240" w:after="240" w:line="360" w:lineRule="auto"/>
        <w:jc w:val="both"/>
        <w:rPr>
          <w:rFonts w:ascii="Times New Roman" w:eastAsia="Times New Roman" w:hAnsi="Times New Roman" w:cs="Times New Roman"/>
          <w:b/>
          <w:sz w:val="24"/>
          <w:szCs w:val="24"/>
        </w:rPr>
      </w:pPr>
      <w:r w:rsidRPr="0098647E">
        <w:rPr>
          <w:rFonts w:ascii="Times New Roman" w:eastAsia="Times New Roman" w:hAnsi="Times New Roman" w:cs="Times New Roman"/>
          <w:b/>
          <w:sz w:val="24"/>
          <w:szCs w:val="24"/>
        </w:rPr>
        <w:t>Đối tượng nghiên cứu</w:t>
      </w:r>
    </w:p>
    <w:p w14:paraId="016E88A7" w14:textId="5C116F7A" w:rsidR="00137C0A" w:rsidRPr="0098647E" w:rsidRDefault="005F2EA0" w:rsidP="00902398">
      <w:pPr>
        <w:spacing w:after="0" w:line="360" w:lineRule="auto"/>
        <w:ind w:firstLine="720"/>
        <w:jc w:val="both"/>
        <w:rPr>
          <w:rFonts w:ascii="Times New Roman" w:eastAsia="Times New Roman" w:hAnsi="Times New Roman" w:cs="Times New Roman"/>
          <w:kern w:val="0"/>
          <w:sz w:val="24"/>
          <w:szCs w:val="24"/>
          <w14:ligatures w14:val="none"/>
        </w:rPr>
      </w:pPr>
      <w:r w:rsidRPr="0098647E">
        <w:rPr>
          <w:rFonts w:ascii="Times New Roman" w:eastAsia="Times New Roman" w:hAnsi="Times New Roman" w:cs="Times New Roman"/>
          <w:kern w:val="0"/>
          <w:sz w:val="24"/>
          <w:szCs w:val="24"/>
          <w14:ligatures w14:val="none"/>
        </w:rPr>
        <w:t>Nghiên cứu hồi cứu được thực hiện trên 126 bệnh nhân chẩn đoán ung thư vú bộ ba âm tính giai đoạn chưa di căn trên bệnh phẩm phẫu thuật tại Bệnh viện K từ tháng 1 năm 2018 đến tháng 12 năm 2019</w:t>
      </w:r>
      <w:r w:rsidR="002068FF">
        <w:rPr>
          <w:rFonts w:ascii="Times New Roman" w:eastAsia="Times New Roman" w:hAnsi="Times New Roman" w:cs="Times New Roman"/>
          <w:kern w:val="0"/>
          <w:sz w:val="24"/>
          <w:szCs w:val="24"/>
          <w14:ligatures w14:val="none"/>
        </w:rPr>
        <w:t>.</w:t>
      </w:r>
      <w:r w:rsidRPr="0098647E">
        <w:rPr>
          <w:rFonts w:ascii="Times New Roman" w:eastAsia="Times New Roman" w:hAnsi="Times New Roman" w:cs="Times New Roman"/>
          <w:kern w:val="0"/>
          <w:sz w:val="24"/>
          <w:szCs w:val="24"/>
          <w14:ligatures w14:val="none"/>
        </w:rPr>
        <w:t xml:space="preserve"> Biểu hiện </w:t>
      </w:r>
      <w:r w:rsidR="00077B4C" w:rsidRPr="0098647E">
        <w:rPr>
          <w:rFonts w:ascii="Times New Roman" w:eastAsia="Times New Roman" w:hAnsi="Times New Roman" w:cs="Times New Roman"/>
          <w:kern w:val="0"/>
          <w:sz w:val="24"/>
          <w:szCs w:val="24"/>
          <w14:ligatures w14:val="none"/>
        </w:rPr>
        <w:t>HER2</w:t>
      </w:r>
      <w:r w:rsidRPr="0098647E">
        <w:rPr>
          <w:rFonts w:ascii="Times New Roman" w:eastAsia="Times New Roman" w:hAnsi="Times New Roman" w:cs="Times New Roman"/>
          <w:kern w:val="0"/>
          <w:sz w:val="24"/>
          <w:szCs w:val="24"/>
          <w14:ligatures w14:val="none"/>
        </w:rPr>
        <w:t xml:space="preserve"> được đánh giá theo hướng dẫn của ASCO/CAP năm 2018</w:t>
      </w:r>
      <w:r w:rsidR="0098647E">
        <w:rPr>
          <w:rFonts w:ascii="Times New Roman" w:eastAsia="Times New Roman" w:hAnsi="Times New Roman" w:cs="Times New Roman"/>
          <w:kern w:val="0"/>
          <w:sz w:val="24"/>
          <w:szCs w:val="24"/>
          <w14:ligatures w14:val="none"/>
        </w:rPr>
        <w:t>,</w:t>
      </w:r>
      <w:r w:rsidRPr="0098647E">
        <w:rPr>
          <w:rFonts w:ascii="Times New Roman" w:eastAsia="Times New Roman" w:hAnsi="Times New Roman" w:cs="Times New Roman"/>
          <w:kern w:val="0"/>
          <w:sz w:val="24"/>
          <w:szCs w:val="24"/>
          <w14:ligatures w14:val="none"/>
        </w:rPr>
        <w:t xml:space="preserve"> Xâm nhập lympho mô u (TILs) được đánh giá dựa trên hướng dẫn của Nhóm nghiên cứu quốc tế về TILs năm 2014, sử dụng ngưỡng phân chia là 40%</w:t>
      </w:r>
      <w:r w:rsidR="002068FF">
        <w:rPr>
          <w:rFonts w:ascii="Times New Roman" w:eastAsia="Times New Roman" w:hAnsi="Times New Roman" w:cs="Times New Roman"/>
          <w:kern w:val="0"/>
          <w:sz w:val="24"/>
          <w:szCs w:val="24"/>
          <w14:ligatures w14:val="none"/>
        </w:rPr>
        <w:t>.</w:t>
      </w:r>
    </w:p>
    <w:p w14:paraId="3F20946F" w14:textId="4ED22E5E" w:rsidR="00CF77ED" w:rsidRPr="0098647E" w:rsidRDefault="00E07D40" w:rsidP="00902398">
      <w:pPr>
        <w:spacing w:after="0" w:line="360" w:lineRule="auto"/>
        <w:jc w:val="both"/>
        <w:rPr>
          <w:rFonts w:ascii="Times New Roman" w:eastAsia="Times New Roman" w:hAnsi="Times New Roman" w:cs="Times New Roman"/>
          <w:b/>
          <w:bCs/>
          <w:kern w:val="0"/>
          <w:sz w:val="24"/>
          <w:szCs w:val="24"/>
          <w14:ligatures w14:val="none"/>
        </w:rPr>
      </w:pPr>
      <w:r w:rsidRPr="0098647E">
        <w:rPr>
          <w:rFonts w:ascii="Times New Roman" w:eastAsia="Times New Roman" w:hAnsi="Times New Roman" w:cs="Times New Roman"/>
          <w:b/>
          <w:sz w:val="24"/>
          <w:szCs w:val="24"/>
        </w:rPr>
        <w:t>Tiêu chuẩn lựa chọn</w:t>
      </w:r>
    </w:p>
    <w:p w14:paraId="5961F0E3" w14:textId="4B97BAE2" w:rsidR="0042278A" w:rsidRPr="0098647E" w:rsidRDefault="00BC6B60" w:rsidP="008D7794">
      <w:pPr>
        <w:pStyle w:val="ListParagraph"/>
        <w:numPr>
          <w:ilvl w:val="0"/>
          <w:numId w:val="2"/>
        </w:numPr>
        <w:spacing w:after="0" w:line="360" w:lineRule="auto"/>
        <w:jc w:val="both"/>
        <w:rPr>
          <w:rFonts w:ascii="Times New Roman" w:eastAsia="Times New Roman" w:hAnsi="Times New Roman" w:cs="Times New Roman"/>
          <w:kern w:val="0"/>
          <w:sz w:val="24"/>
          <w:szCs w:val="24"/>
          <w14:ligatures w14:val="none"/>
        </w:rPr>
      </w:pPr>
      <w:r w:rsidRPr="0098647E">
        <w:rPr>
          <w:rFonts w:ascii="Times New Roman" w:eastAsia="Times New Roman" w:hAnsi="Times New Roman" w:cs="Times New Roman"/>
          <w:kern w:val="0"/>
          <w:sz w:val="24"/>
          <w:szCs w:val="24"/>
          <w14:ligatures w14:val="none"/>
        </w:rPr>
        <w:t xml:space="preserve">Bệnh nhân nữ </w:t>
      </w:r>
      <w:r w:rsidR="008D7794" w:rsidRPr="0098647E">
        <w:rPr>
          <w:rFonts w:ascii="Times New Roman" w:eastAsia="Times New Roman" w:hAnsi="Times New Roman" w:cs="Times New Roman"/>
          <w:kern w:val="0"/>
          <w:sz w:val="24"/>
          <w:szCs w:val="24"/>
          <w14:ligatures w14:val="none"/>
        </w:rPr>
        <w:t>được phẫu thuật trước</w:t>
      </w:r>
      <w:r w:rsidR="002068FF">
        <w:rPr>
          <w:rFonts w:ascii="Times New Roman" w:eastAsia="Times New Roman" w:hAnsi="Times New Roman" w:cs="Times New Roman"/>
          <w:kern w:val="0"/>
          <w:sz w:val="24"/>
          <w:szCs w:val="24"/>
          <w14:ligatures w14:val="none"/>
        </w:rPr>
        <w:t xml:space="preserve"> (chưa được điều trị tân bổ trợ)</w:t>
      </w:r>
      <w:r w:rsidR="008D7794" w:rsidRPr="0098647E">
        <w:rPr>
          <w:rFonts w:ascii="Times New Roman" w:eastAsia="Times New Roman" w:hAnsi="Times New Roman" w:cs="Times New Roman"/>
          <w:kern w:val="0"/>
          <w:sz w:val="24"/>
          <w:szCs w:val="24"/>
          <w14:ligatures w14:val="none"/>
        </w:rPr>
        <w:t xml:space="preserve"> </w:t>
      </w:r>
      <w:r w:rsidRPr="0098647E">
        <w:rPr>
          <w:rFonts w:ascii="Times New Roman" w:eastAsia="Times New Roman" w:hAnsi="Times New Roman" w:cs="Times New Roman"/>
          <w:kern w:val="0"/>
          <w:sz w:val="24"/>
          <w:szCs w:val="24"/>
          <w14:ligatures w14:val="none"/>
        </w:rPr>
        <w:t>có đặc điểm mô bệnh học khẳng định là ung thư biểu mô nguyên phát</w:t>
      </w:r>
      <w:r w:rsidR="008D7794" w:rsidRPr="0098647E">
        <w:rPr>
          <w:rFonts w:ascii="Times New Roman" w:eastAsia="Times New Roman" w:hAnsi="Times New Roman" w:cs="Times New Roman"/>
          <w:kern w:val="0"/>
          <w:sz w:val="24"/>
          <w:szCs w:val="24"/>
          <w14:ligatures w14:val="none"/>
        </w:rPr>
        <w:t xml:space="preserve"> t</w:t>
      </w:r>
      <w:r w:rsidRPr="0098647E">
        <w:rPr>
          <w:rFonts w:ascii="Times New Roman" w:eastAsia="Times New Roman" w:hAnsi="Times New Roman" w:cs="Times New Roman"/>
          <w:kern w:val="0"/>
          <w:sz w:val="24"/>
          <w:szCs w:val="24"/>
          <w14:ligatures w14:val="none"/>
        </w:rPr>
        <w:t>ại vú trên bệnh phẩm phẫu thuật vú</w:t>
      </w:r>
      <w:r w:rsidR="00A85910" w:rsidRPr="0098647E">
        <w:rPr>
          <w:rFonts w:ascii="Times New Roman" w:eastAsia="Times New Roman" w:hAnsi="Times New Roman" w:cs="Times New Roman"/>
          <w:kern w:val="0"/>
          <w:sz w:val="24"/>
          <w:szCs w:val="24"/>
          <w14:ligatures w14:val="none"/>
        </w:rPr>
        <w:t xml:space="preserve"> </w:t>
      </w:r>
      <w:r w:rsidR="002068FF">
        <w:rPr>
          <w:rFonts w:ascii="Times New Roman" w:eastAsia="Times New Roman" w:hAnsi="Times New Roman" w:cs="Times New Roman"/>
          <w:kern w:val="0"/>
          <w:sz w:val="24"/>
          <w:szCs w:val="24"/>
          <w14:ligatures w14:val="none"/>
        </w:rPr>
        <w:t>.</w:t>
      </w:r>
    </w:p>
    <w:p w14:paraId="5B64D6A0" w14:textId="3870D4DE" w:rsidR="00BC6B60" w:rsidRPr="0098647E" w:rsidRDefault="0042278A" w:rsidP="00902398">
      <w:pPr>
        <w:spacing w:after="0" w:line="360" w:lineRule="auto"/>
        <w:ind w:firstLine="720"/>
        <w:jc w:val="both"/>
        <w:rPr>
          <w:rFonts w:ascii="Times New Roman" w:eastAsia="Times New Roman" w:hAnsi="Times New Roman" w:cs="Times New Roman"/>
          <w:kern w:val="0"/>
          <w:sz w:val="24"/>
          <w:szCs w:val="24"/>
          <w14:ligatures w14:val="none"/>
        </w:rPr>
      </w:pPr>
      <w:r w:rsidRPr="0098647E">
        <w:rPr>
          <w:rFonts w:ascii="Times New Roman" w:eastAsia="Times New Roman" w:hAnsi="Times New Roman" w:cs="Times New Roman"/>
          <w:kern w:val="0"/>
          <w:sz w:val="24"/>
          <w:szCs w:val="24"/>
          <w14:ligatures w14:val="none"/>
        </w:rPr>
        <w:t xml:space="preserve">-  </w:t>
      </w:r>
      <w:r w:rsidR="00BC6B60" w:rsidRPr="0098647E">
        <w:rPr>
          <w:rFonts w:ascii="Times New Roman" w:eastAsia="Times New Roman" w:hAnsi="Times New Roman" w:cs="Times New Roman"/>
          <w:kern w:val="0"/>
          <w:sz w:val="24"/>
          <w:szCs w:val="24"/>
          <w14:ligatures w14:val="none"/>
        </w:rPr>
        <w:t>Không có ung thư thứ 2</w:t>
      </w:r>
      <w:r w:rsidR="002068FF">
        <w:rPr>
          <w:rFonts w:ascii="Times New Roman" w:eastAsia="Times New Roman" w:hAnsi="Times New Roman" w:cs="Times New Roman"/>
          <w:kern w:val="0"/>
          <w:sz w:val="24"/>
          <w:szCs w:val="24"/>
          <w14:ligatures w14:val="none"/>
        </w:rPr>
        <w:t>.</w:t>
      </w:r>
    </w:p>
    <w:p w14:paraId="468A92CA" w14:textId="1886AB18" w:rsidR="00BC6B60" w:rsidRPr="0098647E" w:rsidRDefault="00BC6B60" w:rsidP="00902398">
      <w:pPr>
        <w:spacing w:after="0" w:line="360" w:lineRule="auto"/>
        <w:ind w:firstLine="720"/>
        <w:jc w:val="both"/>
        <w:rPr>
          <w:rFonts w:ascii="Times New Roman" w:eastAsia="Times New Roman" w:hAnsi="Times New Roman" w:cs="Times New Roman"/>
          <w:kern w:val="0"/>
          <w:sz w:val="24"/>
          <w:szCs w:val="24"/>
          <w14:ligatures w14:val="none"/>
        </w:rPr>
      </w:pPr>
      <w:r w:rsidRPr="0098647E">
        <w:rPr>
          <w:rFonts w:ascii="Times New Roman" w:eastAsia="Times New Roman" w:hAnsi="Times New Roman" w:cs="Times New Roman"/>
          <w:kern w:val="0"/>
          <w:sz w:val="24"/>
          <w:szCs w:val="24"/>
          <w14:ligatures w14:val="none"/>
        </w:rPr>
        <w:t>- Có hồ sơ bệnh án cung cấp đầy đủ thông tin cần thiết cho nghiên cứu</w:t>
      </w:r>
      <w:r w:rsidR="0098647E">
        <w:rPr>
          <w:rFonts w:ascii="Times New Roman" w:eastAsia="Times New Roman" w:hAnsi="Times New Roman" w:cs="Times New Roman"/>
          <w:kern w:val="0"/>
          <w:sz w:val="24"/>
          <w:szCs w:val="24"/>
          <w14:ligatures w14:val="none"/>
        </w:rPr>
        <w:t>,</w:t>
      </w:r>
      <w:r w:rsidRPr="0098647E">
        <w:rPr>
          <w:rFonts w:ascii="Times New Roman" w:eastAsia="Times New Roman" w:hAnsi="Times New Roman" w:cs="Times New Roman"/>
          <w:kern w:val="0"/>
          <w:sz w:val="24"/>
          <w:szCs w:val="24"/>
          <w14:ligatures w14:val="none"/>
        </w:rPr>
        <w:t xml:space="preserve"> Có tiêu bản, khối nến đủ tiêu chuẩn nhuộm HE, HMMD</w:t>
      </w:r>
      <w:r w:rsidR="002068FF">
        <w:rPr>
          <w:rFonts w:ascii="Times New Roman" w:eastAsia="Times New Roman" w:hAnsi="Times New Roman" w:cs="Times New Roman"/>
          <w:kern w:val="0"/>
          <w:sz w:val="24"/>
          <w:szCs w:val="24"/>
          <w14:ligatures w14:val="none"/>
        </w:rPr>
        <w:t>.</w:t>
      </w:r>
    </w:p>
    <w:p w14:paraId="19B980FC" w14:textId="015E705E" w:rsidR="000567B4" w:rsidRPr="0098647E" w:rsidRDefault="00BC6B60" w:rsidP="00902398">
      <w:pPr>
        <w:spacing w:after="0" w:line="360" w:lineRule="auto"/>
        <w:ind w:firstLine="720"/>
        <w:jc w:val="both"/>
        <w:rPr>
          <w:rFonts w:ascii="Times New Roman" w:eastAsia="Times New Roman" w:hAnsi="Times New Roman" w:cs="Times New Roman"/>
          <w:kern w:val="0"/>
          <w:sz w:val="24"/>
          <w:szCs w:val="24"/>
          <w14:ligatures w14:val="none"/>
        </w:rPr>
      </w:pPr>
      <w:r w:rsidRPr="0098647E">
        <w:rPr>
          <w:rFonts w:ascii="Times New Roman" w:eastAsia="Times New Roman" w:hAnsi="Times New Roman" w:cs="Times New Roman"/>
          <w:kern w:val="0"/>
          <w:sz w:val="24"/>
          <w:szCs w:val="24"/>
          <w14:ligatures w14:val="none"/>
        </w:rPr>
        <w:t xml:space="preserve">- Bệnh nhân được khẳng định có thụ thể nội tiết ER, PR và </w:t>
      </w:r>
      <w:r w:rsidR="00077B4C" w:rsidRPr="0098647E">
        <w:rPr>
          <w:rFonts w:ascii="Times New Roman" w:eastAsia="Times New Roman" w:hAnsi="Times New Roman" w:cs="Times New Roman"/>
          <w:kern w:val="0"/>
          <w:sz w:val="24"/>
          <w:szCs w:val="24"/>
          <w14:ligatures w14:val="none"/>
        </w:rPr>
        <w:t>HER2</w:t>
      </w:r>
      <w:r w:rsidRPr="0098647E">
        <w:rPr>
          <w:rFonts w:ascii="Times New Roman" w:eastAsia="Times New Roman" w:hAnsi="Times New Roman" w:cs="Times New Roman"/>
          <w:kern w:val="0"/>
          <w:sz w:val="24"/>
          <w:szCs w:val="24"/>
          <w14:ligatures w14:val="none"/>
        </w:rPr>
        <w:t xml:space="preserve"> đều âm tính</w:t>
      </w:r>
      <w:r w:rsidR="005D19E8" w:rsidRPr="0098647E">
        <w:rPr>
          <w:rFonts w:ascii="Times New Roman" w:eastAsia="Times New Roman" w:hAnsi="Times New Roman" w:cs="Times New Roman"/>
          <w:kern w:val="0"/>
          <w:sz w:val="24"/>
          <w:szCs w:val="24"/>
          <w14:ligatures w14:val="none"/>
        </w:rPr>
        <w:t xml:space="preserve"> (HMMD</w:t>
      </w:r>
      <w:r w:rsidRPr="0098647E">
        <w:rPr>
          <w:rFonts w:ascii="Times New Roman" w:eastAsia="Times New Roman" w:hAnsi="Times New Roman" w:cs="Times New Roman"/>
          <w:kern w:val="0"/>
          <w:sz w:val="24"/>
          <w:szCs w:val="24"/>
          <w14:ligatures w14:val="none"/>
        </w:rPr>
        <w:t xml:space="preserve"> </w:t>
      </w:r>
      <w:r w:rsidR="005D19E8" w:rsidRPr="0098647E">
        <w:rPr>
          <w:rFonts w:ascii="Times New Roman" w:eastAsia="Times New Roman" w:hAnsi="Times New Roman" w:cs="Times New Roman"/>
          <w:kern w:val="0"/>
          <w:sz w:val="24"/>
          <w:szCs w:val="24"/>
          <w14:ligatures w14:val="none"/>
        </w:rPr>
        <w:t>0 + , 1 + , or 2 +</w:t>
      </w:r>
      <w:r w:rsidR="008D7794" w:rsidRPr="0098647E">
        <w:rPr>
          <w:rFonts w:ascii="Times New Roman" w:eastAsia="Times New Roman" w:hAnsi="Times New Roman" w:cs="Times New Roman"/>
          <w:kern w:val="0"/>
          <w:sz w:val="24"/>
          <w:szCs w:val="24"/>
          <w14:ligatures w14:val="none"/>
        </w:rPr>
        <w:t xml:space="preserve"> và</w:t>
      </w:r>
      <w:r w:rsidR="005D19E8" w:rsidRPr="0098647E">
        <w:rPr>
          <w:rFonts w:ascii="Times New Roman" w:eastAsia="Times New Roman" w:hAnsi="Times New Roman" w:cs="Times New Roman"/>
          <w:kern w:val="0"/>
          <w:sz w:val="24"/>
          <w:szCs w:val="24"/>
          <w14:ligatures w14:val="none"/>
        </w:rPr>
        <w:t> </w:t>
      </w:r>
      <w:r w:rsidR="008D7794" w:rsidRPr="0098647E">
        <w:rPr>
          <w:rFonts w:ascii="Times New Roman" w:eastAsia="Times New Roman" w:hAnsi="Times New Roman" w:cs="Times New Roman"/>
          <w:kern w:val="0"/>
          <w:sz w:val="24"/>
          <w:szCs w:val="24"/>
          <w14:ligatures w14:val="none"/>
        </w:rPr>
        <w:t>có</w:t>
      </w:r>
      <w:r w:rsidR="005D19E8" w:rsidRPr="0098647E">
        <w:rPr>
          <w:rFonts w:ascii="Times New Roman" w:eastAsia="Times New Roman" w:hAnsi="Times New Roman" w:cs="Times New Roman"/>
          <w:kern w:val="0"/>
          <w:sz w:val="24"/>
          <w:szCs w:val="24"/>
          <w14:ligatures w14:val="none"/>
        </w:rPr>
        <w:t xml:space="preserve"> FISH-/Dual-ISH-) </w:t>
      </w:r>
      <w:r w:rsidRPr="0098647E">
        <w:rPr>
          <w:rFonts w:ascii="Times New Roman" w:eastAsia="Times New Roman" w:hAnsi="Times New Roman" w:cs="Times New Roman"/>
          <w:kern w:val="0"/>
          <w:sz w:val="24"/>
          <w:szCs w:val="24"/>
          <w14:ligatures w14:val="none"/>
        </w:rPr>
        <w:t>trên mẫu bệnh phẩm mổ</w:t>
      </w:r>
      <w:r w:rsidR="002068FF">
        <w:rPr>
          <w:rFonts w:ascii="Times New Roman" w:eastAsia="Times New Roman" w:hAnsi="Times New Roman" w:cs="Times New Roman"/>
          <w:kern w:val="0"/>
          <w:sz w:val="24"/>
          <w:szCs w:val="24"/>
          <w14:ligatures w14:val="none"/>
        </w:rPr>
        <w:t>.</w:t>
      </w:r>
    </w:p>
    <w:p w14:paraId="52664B25" w14:textId="32D545FC" w:rsidR="00660404" w:rsidRPr="0098647E" w:rsidRDefault="00854C48" w:rsidP="00902398">
      <w:pPr>
        <w:spacing w:after="0" w:line="360" w:lineRule="auto"/>
        <w:jc w:val="both"/>
        <w:rPr>
          <w:rFonts w:ascii="Times New Roman" w:eastAsia="Times New Roman" w:hAnsi="Times New Roman" w:cs="Times New Roman"/>
          <w:b/>
          <w:bCs/>
          <w:kern w:val="0"/>
          <w:sz w:val="24"/>
          <w:szCs w:val="24"/>
          <w14:ligatures w14:val="none"/>
        </w:rPr>
      </w:pPr>
      <w:r w:rsidRPr="0098647E">
        <w:rPr>
          <w:rFonts w:ascii="Times New Roman" w:eastAsia="Times New Roman" w:hAnsi="Times New Roman" w:cs="Times New Roman"/>
          <w:b/>
          <w:bCs/>
          <w:kern w:val="0"/>
          <w:sz w:val="24"/>
          <w:szCs w:val="24"/>
          <w14:ligatures w14:val="none"/>
        </w:rPr>
        <w:t>Phương pháp nghiên cứu</w:t>
      </w:r>
    </w:p>
    <w:p w14:paraId="57027ED4" w14:textId="4B632B97" w:rsidR="009D711E" w:rsidRPr="0098647E" w:rsidRDefault="006F0CD3" w:rsidP="00902398">
      <w:pPr>
        <w:spacing w:after="0" w:line="360" w:lineRule="auto"/>
        <w:ind w:firstLine="720"/>
        <w:jc w:val="both"/>
        <w:rPr>
          <w:rFonts w:ascii="Times New Roman" w:eastAsia="Times New Roman" w:hAnsi="Times New Roman" w:cs="Times New Roman"/>
          <w:kern w:val="0"/>
          <w:sz w:val="24"/>
          <w:szCs w:val="24"/>
          <w14:ligatures w14:val="none"/>
        </w:rPr>
      </w:pPr>
      <w:r w:rsidRPr="0098647E">
        <w:rPr>
          <w:rFonts w:ascii="Times New Roman" w:eastAsia="Times New Roman" w:hAnsi="Times New Roman" w:cs="Times New Roman"/>
          <w:kern w:val="0"/>
          <w:sz w:val="24"/>
          <w:szCs w:val="24"/>
          <w14:ligatures w14:val="none"/>
        </w:rPr>
        <w:t xml:space="preserve">Phương pháp nghiên cứu mô tả </w:t>
      </w:r>
      <w:r w:rsidR="008D7794" w:rsidRPr="0098647E">
        <w:rPr>
          <w:rFonts w:ascii="Times New Roman" w:eastAsia="Times New Roman" w:hAnsi="Times New Roman" w:cs="Times New Roman"/>
          <w:kern w:val="0"/>
          <w:sz w:val="24"/>
          <w:szCs w:val="24"/>
          <w14:ligatures w14:val="none"/>
        </w:rPr>
        <w:t>cắt ngang để xác định tính trạng HER2 và tỷ lệ xâm nhập lympho bào trong mô u và mối liên quan với đặc điểm mô bệnh học và sống thêm trong ung thư vú bộ ba âm tính</w:t>
      </w:r>
      <w:r w:rsidR="002068FF">
        <w:rPr>
          <w:rFonts w:ascii="Times New Roman" w:eastAsia="Times New Roman" w:hAnsi="Times New Roman" w:cs="Times New Roman"/>
          <w:kern w:val="0"/>
          <w:sz w:val="24"/>
          <w:szCs w:val="24"/>
          <w14:ligatures w14:val="none"/>
        </w:rPr>
        <w:t>.</w:t>
      </w:r>
    </w:p>
    <w:p w14:paraId="5D245CA1" w14:textId="4CE0B126" w:rsidR="009D711E" w:rsidRPr="0098647E" w:rsidRDefault="00CB1B14" w:rsidP="00902398">
      <w:pPr>
        <w:spacing w:after="0" w:line="360" w:lineRule="auto"/>
        <w:jc w:val="both"/>
        <w:rPr>
          <w:rFonts w:ascii="Times New Roman" w:eastAsia="Times New Roman" w:hAnsi="Times New Roman" w:cs="Times New Roman"/>
          <w:kern w:val="0"/>
          <w:sz w:val="24"/>
          <w:szCs w:val="24"/>
          <w14:ligatures w14:val="none"/>
        </w:rPr>
      </w:pPr>
      <w:r w:rsidRPr="0098647E">
        <w:rPr>
          <w:rFonts w:ascii="Times New Roman" w:eastAsia="Times New Roman" w:hAnsi="Times New Roman" w:cs="Times New Roman"/>
          <w:kern w:val="0"/>
          <w:sz w:val="24"/>
          <w:szCs w:val="24"/>
          <w14:ligatures w14:val="none"/>
        </w:rPr>
        <w:t>Các bước tiến hành nghiên cứu</w:t>
      </w:r>
    </w:p>
    <w:p w14:paraId="7AA81E44" w14:textId="2B144D72" w:rsidR="00ED63D6" w:rsidRPr="0098647E" w:rsidRDefault="008D7794" w:rsidP="008D7794">
      <w:pPr>
        <w:pStyle w:val="ListParagraph"/>
        <w:numPr>
          <w:ilvl w:val="0"/>
          <w:numId w:val="2"/>
        </w:numPr>
        <w:spacing w:after="0" w:line="360" w:lineRule="auto"/>
        <w:jc w:val="both"/>
        <w:rPr>
          <w:rFonts w:ascii="Times New Roman" w:eastAsia="Times New Roman" w:hAnsi="Times New Roman" w:cs="Times New Roman"/>
          <w:kern w:val="0"/>
          <w:sz w:val="24"/>
          <w:szCs w:val="24"/>
          <w14:ligatures w14:val="none"/>
        </w:rPr>
      </w:pPr>
      <w:r w:rsidRPr="0098647E">
        <w:rPr>
          <w:rFonts w:ascii="Times New Roman" w:eastAsia="Times New Roman" w:hAnsi="Times New Roman" w:cs="Times New Roman"/>
          <w:kern w:val="0"/>
          <w:sz w:val="24"/>
          <w:szCs w:val="24"/>
          <w14:ligatures w14:val="none"/>
        </w:rPr>
        <w:t xml:space="preserve">Bước 1: </w:t>
      </w:r>
      <w:r w:rsidR="00ED63D6" w:rsidRPr="0098647E">
        <w:rPr>
          <w:rFonts w:ascii="Times New Roman" w:eastAsia="Times New Roman" w:hAnsi="Times New Roman" w:cs="Times New Roman"/>
          <w:kern w:val="0"/>
          <w:sz w:val="24"/>
          <w:szCs w:val="24"/>
          <w14:ligatures w14:val="none"/>
        </w:rPr>
        <w:t>Các bệnh nhân được chẩn đoán TNBC từ tháng 1 năm 2018 đến tháng 12 năm 2019</w:t>
      </w:r>
      <w:r w:rsidR="002068FF">
        <w:rPr>
          <w:rFonts w:ascii="Times New Roman" w:eastAsia="Times New Roman" w:hAnsi="Times New Roman" w:cs="Times New Roman"/>
          <w:kern w:val="0"/>
          <w:sz w:val="24"/>
          <w:szCs w:val="24"/>
          <w14:ligatures w14:val="none"/>
        </w:rPr>
        <w:t>.</w:t>
      </w:r>
    </w:p>
    <w:p w14:paraId="299DEF7A" w14:textId="26E6D20F" w:rsidR="00ED63D6" w:rsidRPr="0098647E" w:rsidRDefault="008D7794" w:rsidP="00902398">
      <w:pPr>
        <w:pStyle w:val="ListParagraph"/>
        <w:numPr>
          <w:ilvl w:val="0"/>
          <w:numId w:val="2"/>
        </w:numPr>
        <w:spacing w:after="0" w:line="360" w:lineRule="auto"/>
        <w:jc w:val="both"/>
        <w:rPr>
          <w:rFonts w:ascii="Times New Roman" w:eastAsia="Times New Roman" w:hAnsi="Times New Roman" w:cs="Times New Roman"/>
          <w:kern w:val="0"/>
          <w:sz w:val="24"/>
          <w:szCs w:val="24"/>
          <w14:ligatures w14:val="none"/>
        </w:rPr>
      </w:pPr>
      <w:r w:rsidRPr="0098647E">
        <w:rPr>
          <w:rFonts w:ascii="Times New Roman" w:eastAsia="Times New Roman" w:hAnsi="Times New Roman" w:cs="Times New Roman"/>
          <w:kern w:val="0"/>
          <w:sz w:val="24"/>
          <w:szCs w:val="24"/>
          <w14:ligatures w14:val="none"/>
        </w:rPr>
        <w:t xml:space="preserve">Bước 2: </w:t>
      </w:r>
      <w:r w:rsidR="00ED63D6" w:rsidRPr="0098647E">
        <w:rPr>
          <w:rFonts w:ascii="Times New Roman" w:eastAsia="Times New Roman" w:hAnsi="Times New Roman" w:cs="Times New Roman"/>
          <w:kern w:val="0"/>
          <w:sz w:val="24"/>
          <w:szCs w:val="24"/>
          <w14:ligatures w14:val="none"/>
        </w:rPr>
        <w:t>Tra cứu hồ sơ bệnh án và thu thập số liệu theo bệnh án nghiên cứu</w:t>
      </w:r>
      <w:r w:rsidR="002068FF">
        <w:rPr>
          <w:rFonts w:ascii="Times New Roman" w:eastAsia="Times New Roman" w:hAnsi="Times New Roman" w:cs="Times New Roman"/>
          <w:kern w:val="0"/>
          <w:sz w:val="24"/>
          <w:szCs w:val="24"/>
          <w14:ligatures w14:val="none"/>
        </w:rPr>
        <w:t>.</w:t>
      </w:r>
    </w:p>
    <w:p w14:paraId="17F563DB" w14:textId="4B19B2E6" w:rsidR="00ED63D6" w:rsidRPr="0098647E" w:rsidRDefault="008D7794" w:rsidP="00902398">
      <w:pPr>
        <w:pStyle w:val="ListParagraph"/>
        <w:numPr>
          <w:ilvl w:val="0"/>
          <w:numId w:val="2"/>
        </w:numPr>
        <w:spacing w:after="0" w:line="360" w:lineRule="auto"/>
        <w:jc w:val="both"/>
        <w:rPr>
          <w:rFonts w:ascii="Times New Roman" w:eastAsia="Times New Roman" w:hAnsi="Times New Roman" w:cs="Times New Roman"/>
          <w:kern w:val="0"/>
          <w:sz w:val="24"/>
          <w:szCs w:val="24"/>
          <w14:ligatures w14:val="none"/>
        </w:rPr>
      </w:pPr>
      <w:r w:rsidRPr="0098647E">
        <w:rPr>
          <w:rFonts w:ascii="Times New Roman" w:eastAsia="Times New Roman" w:hAnsi="Times New Roman" w:cs="Times New Roman"/>
          <w:kern w:val="0"/>
          <w:sz w:val="24"/>
          <w:szCs w:val="24"/>
          <w14:ligatures w14:val="none"/>
        </w:rPr>
        <w:t xml:space="preserve">Bước 3: </w:t>
      </w:r>
      <w:r w:rsidR="002E40AE" w:rsidRPr="0098647E">
        <w:rPr>
          <w:rFonts w:ascii="Times New Roman" w:eastAsia="Times New Roman" w:hAnsi="Times New Roman" w:cs="Times New Roman"/>
          <w:kern w:val="0"/>
          <w:sz w:val="24"/>
          <w:szCs w:val="24"/>
          <w14:ligatures w14:val="none"/>
        </w:rPr>
        <w:t>Ghi nhân các kết quả GPB</w:t>
      </w:r>
      <w:r w:rsidR="00ED63D6" w:rsidRPr="0098647E">
        <w:rPr>
          <w:rFonts w:ascii="Times New Roman" w:eastAsia="Times New Roman" w:hAnsi="Times New Roman" w:cs="Times New Roman"/>
          <w:kern w:val="0"/>
          <w:sz w:val="24"/>
          <w:szCs w:val="24"/>
          <w14:ligatures w14:val="none"/>
        </w:rPr>
        <w:t xml:space="preserve"> trên </w:t>
      </w:r>
      <w:r w:rsidR="002E40AE" w:rsidRPr="0098647E">
        <w:rPr>
          <w:rFonts w:ascii="Times New Roman" w:eastAsia="Times New Roman" w:hAnsi="Times New Roman" w:cs="Times New Roman"/>
          <w:kern w:val="0"/>
          <w:sz w:val="24"/>
          <w:szCs w:val="24"/>
          <w14:ligatures w14:val="none"/>
        </w:rPr>
        <w:t xml:space="preserve">tiêu bản </w:t>
      </w:r>
      <w:r w:rsidR="00ED63D6" w:rsidRPr="0098647E">
        <w:rPr>
          <w:rFonts w:ascii="Times New Roman" w:eastAsia="Times New Roman" w:hAnsi="Times New Roman" w:cs="Times New Roman"/>
          <w:kern w:val="0"/>
          <w:sz w:val="24"/>
          <w:szCs w:val="24"/>
          <w14:ligatures w14:val="none"/>
        </w:rPr>
        <w:t>nhuộm thường quy HE,</w:t>
      </w:r>
      <w:r w:rsidR="007800E2" w:rsidRPr="0098647E">
        <w:rPr>
          <w:rFonts w:ascii="Times New Roman" w:eastAsia="Times New Roman" w:hAnsi="Times New Roman" w:cs="Times New Roman"/>
          <w:kern w:val="0"/>
          <w:sz w:val="24"/>
          <w:szCs w:val="24"/>
          <w14:ligatures w14:val="none"/>
        </w:rPr>
        <w:t xml:space="preserve"> HMMD với các dấu ấn ER, PR, </w:t>
      </w:r>
      <w:r w:rsidR="00077B4C" w:rsidRPr="0098647E">
        <w:rPr>
          <w:rFonts w:ascii="Times New Roman" w:eastAsia="Times New Roman" w:hAnsi="Times New Roman" w:cs="Times New Roman"/>
          <w:kern w:val="0"/>
          <w:sz w:val="24"/>
          <w:szCs w:val="24"/>
          <w14:ligatures w14:val="none"/>
        </w:rPr>
        <w:t>HER2</w:t>
      </w:r>
      <w:r w:rsidR="007800E2" w:rsidRPr="0098647E">
        <w:rPr>
          <w:rFonts w:ascii="Times New Roman" w:eastAsia="Times New Roman" w:hAnsi="Times New Roman" w:cs="Times New Roman"/>
          <w:kern w:val="0"/>
          <w:sz w:val="24"/>
          <w:szCs w:val="24"/>
          <w14:ligatures w14:val="none"/>
        </w:rPr>
        <w:t>, Ki67 và</w:t>
      </w:r>
      <w:r w:rsidR="00ED63D6" w:rsidRPr="0098647E">
        <w:rPr>
          <w:rFonts w:ascii="Times New Roman" w:eastAsia="Times New Roman" w:hAnsi="Times New Roman" w:cs="Times New Roman"/>
          <w:kern w:val="0"/>
          <w:sz w:val="24"/>
          <w:szCs w:val="24"/>
          <w14:ligatures w14:val="none"/>
        </w:rPr>
        <w:t xml:space="preserve"> đánh giá TILs</w:t>
      </w:r>
      <w:r w:rsidR="002068FF">
        <w:rPr>
          <w:rFonts w:ascii="Times New Roman" w:eastAsia="Times New Roman" w:hAnsi="Times New Roman" w:cs="Times New Roman"/>
          <w:kern w:val="0"/>
          <w:sz w:val="24"/>
          <w:szCs w:val="24"/>
          <w14:ligatures w14:val="none"/>
        </w:rPr>
        <w:t>.</w:t>
      </w:r>
    </w:p>
    <w:p w14:paraId="6E430A7E" w14:textId="3CCFA92F" w:rsidR="001D3DDC" w:rsidRPr="0098647E" w:rsidRDefault="008D7794" w:rsidP="00902398">
      <w:pPr>
        <w:pStyle w:val="ListParagraph"/>
        <w:numPr>
          <w:ilvl w:val="0"/>
          <w:numId w:val="2"/>
        </w:numPr>
        <w:spacing w:after="0" w:line="360" w:lineRule="auto"/>
        <w:jc w:val="both"/>
        <w:rPr>
          <w:rFonts w:ascii="Times New Roman" w:eastAsia="Times New Roman" w:hAnsi="Times New Roman" w:cs="Times New Roman"/>
          <w:kern w:val="0"/>
          <w:sz w:val="24"/>
          <w:szCs w:val="24"/>
          <w14:ligatures w14:val="none"/>
        </w:rPr>
      </w:pPr>
      <w:r w:rsidRPr="0098647E">
        <w:rPr>
          <w:rFonts w:ascii="Times New Roman" w:eastAsia="Times New Roman" w:hAnsi="Times New Roman" w:cs="Times New Roman"/>
          <w:kern w:val="0"/>
          <w:sz w:val="24"/>
          <w:szCs w:val="24"/>
          <w14:ligatures w14:val="none"/>
        </w:rPr>
        <w:t xml:space="preserve">Bước 4: </w:t>
      </w:r>
      <w:r w:rsidR="001D3DDC" w:rsidRPr="0098647E">
        <w:rPr>
          <w:rFonts w:ascii="Times New Roman" w:eastAsia="Times New Roman" w:hAnsi="Times New Roman" w:cs="Times New Roman"/>
          <w:kern w:val="0"/>
          <w:sz w:val="24"/>
          <w:szCs w:val="24"/>
          <w14:ligatures w14:val="none"/>
        </w:rPr>
        <w:t xml:space="preserve">Biểu hiện </w:t>
      </w:r>
      <w:r w:rsidR="00077B4C" w:rsidRPr="0098647E">
        <w:rPr>
          <w:rFonts w:ascii="Times New Roman" w:eastAsia="Times New Roman" w:hAnsi="Times New Roman" w:cs="Times New Roman"/>
          <w:kern w:val="0"/>
          <w:sz w:val="24"/>
          <w:szCs w:val="24"/>
          <w14:ligatures w14:val="none"/>
        </w:rPr>
        <w:t>HER2</w:t>
      </w:r>
      <w:r w:rsidR="001D3DDC" w:rsidRPr="0098647E">
        <w:rPr>
          <w:rFonts w:ascii="Times New Roman" w:eastAsia="Times New Roman" w:hAnsi="Times New Roman" w:cs="Times New Roman"/>
          <w:kern w:val="0"/>
          <w:sz w:val="24"/>
          <w:szCs w:val="24"/>
          <w14:ligatures w14:val="none"/>
        </w:rPr>
        <w:t xml:space="preserve"> được đánh giá theo hướng dẫn của ASCO/CAP năm 2018</w:t>
      </w:r>
      <w:r w:rsidR="0098647E">
        <w:rPr>
          <w:rFonts w:ascii="Times New Roman" w:eastAsia="Times New Roman" w:hAnsi="Times New Roman" w:cs="Times New Roman"/>
          <w:kern w:val="0"/>
          <w:sz w:val="24"/>
          <w:szCs w:val="24"/>
          <w14:ligatures w14:val="none"/>
        </w:rPr>
        <w:t>,</w:t>
      </w:r>
      <w:r w:rsidR="001D3DDC" w:rsidRPr="0098647E">
        <w:rPr>
          <w:rFonts w:ascii="Times New Roman" w:eastAsia="Times New Roman" w:hAnsi="Times New Roman" w:cs="Times New Roman"/>
          <w:kern w:val="0"/>
          <w:sz w:val="24"/>
          <w:szCs w:val="24"/>
          <w14:ligatures w14:val="none"/>
        </w:rPr>
        <w:t xml:space="preserve"> Xâm nhập lympho mô u (TILs) được đánh giá dựa trên hướng dẫn của Nhóm nghiên cứu quốc tế về TILs năm 2014, sử dụng ngưỡng phân chia là 40%</w:t>
      </w:r>
      <w:r w:rsidR="002068FF">
        <w:rPr>
          <w:rFonts w:ascii="Times New Roman" w:eastAsia="Times New Roman" w:hAnsi="Times New Roman" w:cs="Times New Roman"/>
          <w:kern w:val="0"/>
          <w:sz w:val="24"/>
          <w:szCs w:val="24"/>
          <w14:ligatures w14:val="none"/>
        </w:rPr>
        <w:t>.</w:t>
      </w:r>
    </w:p>
    <w:p w14:paraId="20F5D93B" w14:textId="4DF3DFEE" w:rsidR="00137C0A" w:rsidRPr="0098647E" w:rsidRDefault="002E03AD" w:rsidP="00902398">
      <w:pPr>
        <w:pStyle w:val="ListParagraph"/>
        <w:numPr>
          <w:ilvl w:val="0"/>
          <w:numId w:val="5"/>
        </w:numPr>
        <w:spacing w:before="240" w:after="240" w:line="360" w:lineRule="auto"/>
        <w:jc w:val="both"/>
        <w:rPr>
          <w:rFonts w:ascii="Times New Roman" w:eastAsia="Times New Roman" w:hAnsi="Times New Roman" w:cs="Times New Roman"/>
          <w:b/>
          <w:sz w:val="24"/>
          <w:szCs w:val="24"/>
        </w:rPr>
      </w:pPr>
      <w:r w:rsidRPr="0098647E">
        <w:rPr>
          <w:rFonts w:ascii="Times New Roman" w:eastAsia="Times New Roman" w:hAnsi="Times New Roman" w:cs="Times New Roman"/>
          <w:b/>
          <w:sz w:val="24"/>
          <w:szCs w:val="24"/>
        </w:rPr>
        <w:t>KẾT QUẢ</w:t>
      </w:r>
    </w:p>
    <w:p w14:paraId="45382671" w14:textId="78D593B3" w:rsidR="005974ED" w:rsidRPr="0098647E" w:rsidRDefault="002E03AD" w:rsidP="00902398">
      <w:pPr>
        <w:pStyle w:val="ListParagraph"/>
        <w:numPr>
          <w:ilvl w:val="0"/>
          <w:numId w:val="3"/>
        </w:numPr>
        <w:spacing w:before="375" w:after="75" w:line="360" w:lineRule="auto"/>
        <w:jc w:val="both"/>
        <w:outlineLvl w:val="2"/>
        <w:rPr>
          <w:rFonts w:ascii="Times New Roman" w:eastAsia="Times New Roman" w:hAnsi="Times New Roman" w:cs="Times New Roman"/>
          <w:b/>
          <w:bCs/>
          <w:kern w:val="0"/>
          <w:sz w:val="24"/>
          <w:szCs w:val="24"/>
          <w14:ligatures w14:val="none"/>
        </w:rPr>
      </w:pPr>
      <w:r w:rsidRPr="0098647E">
        <w:rPr>
          <w:rFonts w:ascii="Times New Roman" w:eastAsia="Times New Roman" w:hAnsi="Times New Roman" w:cs="Times New Roman"/>
          <w:b/>
          <w:bCs/>
          <w:kern w:val="0"/>
          <w:sz w:val="24"/>
          <w:szCs w:val="24"/>
          <w14:ligatures w14:val="none"/>
        </w:rPr>
        <w:lastRenderedPageBreak/>
        <w:t>Đặc điểm bệnh nhân</w:t>
      </w:r>
      <w:r w:rsidR="00A85910" w:rsidRPr="0098647E">
        <w:rPr>
          <w:rFonts w:ascii="Times New Roman" w:eastAsia="Times New Roman" w:hAnsi="Times New Roman" w:cs="Times New Roman"/>
          <w:b/>
          <w:bCs/>
          <w:kern w:val="0"/>
          <w:sz w:val="24"/>
          <w:szCs w:val="24"/>
          <w14:ligatures w14:val="none"/>
        </w:rPr>
        <w:t xml:space="preserve"> </w:t>
      </w:r>
    </w:p>
    <w:p w14:paraId="220183FE" w14:textId="0BD8BEC2" w:rsidR="001F59B1" w:rsidRPr="0098647E" w:rsidRDefault="00F20F07" w:rsidP="00902398">
      <w:pPr>
        <w:spacing w:line="360" w:lineRule="auto"/>
        <w:jc w:val="both"/>
        <w:rPr>
          <w:rFonts w:ascii="Times New Roman" w:hAnsi="Times New Roman" w:cs="Times New Roman"/>
          <w:sz w:val="24"/>
          <w:szCs w:val="24"/>
        </w:rPr>
      </w:pPr>
      <w:r w:rsidRPr="0098647E">
        <w:rPr>
          <w:rFonts w:ascii="Times New Roman" w:hAnsi="Times New Roman" w:cs="Times New Roman"/>
          <w:sz w:val="24"/>
          <w:szCs w:val="24"/>
        </w:rPr>
        <w:t>Bảng</w:t>
      </w:r>
      <w:r w:rsidR="001F59B1" w:rsidRPr="0098647E">
        <w:rPr>
          <w:rFonts w:ascii="Times New Roman" w:hAnsi="Times New Roman" w:cs="Times New Roman"/>
          <w:sz w:val="24"/>
          <w:szCs w:val="24"/>
        </w:rPr>
        <w:t xml:space="preserve"> 1</w:t>
      </w:r>
      <w:r w:rsidR="002068FF">
        <w:rPr>
          <w:rFonts w:ascii="Times New Roman" w:hAnsi="Times New Roman" w:cs="Times New Roman"/>
          <w:sz w:val="24"/>
          <w:szCs w:val="24"/>
        </w:rPr>
        <w:t>.</w:t>
      </w:r>
      <w:r w:rsidR="001F59B1" w:rsidRPr="0098647E">
        <w:rPr>
          <w:rFonts w:ascii="Times New Roman" w:hAnsi="Times New Roman" w:cs="Times New Roman"/>
          <w:sz w:val="24"/>
          <w:szCs w:val="24"/>
        </w:rPr>
        <w:t xml:space="preserve"> </w:t>
      </w:r>
      <w:r w:rsidRPr="0098647E">
        <w:rPr>
          <w:rFonts w:ascii="Times New Roman" w:hAnsi="Times New Roman" w:cs="Times New Roman"/>
          <w:sz w:val="24"/>
          <w:szCs w:val="24"/>
        </w:rPr>
        <w:t xml:space="preserve">Mối liên hệ giữa tình trạng </w:t>
      </w:r>
      <w:r w:rsidR="00077B4C" w:rsidRPr="0098647E">
        <w:rPr>
          <w:rFonts w:ascii="Times New Roman" w:hAnsi="Times New Roman" w:cs="Times New Roman"/>
          <w:sz w:val="24"/>
          <w:szCs w:val="24"/>
        </w:rPr>
        <w:t>HER2</w:t>
      </w:r>
      <w:r w:rsidRPr="0098647E">
        <w:rPr>
          <w:rFonts w:ascii="Times New Roman" w:hAnsi="Times New Roman" w:cs="Times New Roman"/>
          <w:sz w:val="24"/>
          <w:szCs w:val="24"/>
        </w:rPr>
        <w:t xml:space="preserve"> và các đặc điểm lâm sàng, cận lâm sàng</w:t>
      </w:r>
    </w:p>
    <w:tbl>
      <w:tblPr>
        <w:tblStyle w:val="ListTable2"/>
        <w:tblW w:w="11251" w:type="dxa"/>
        <w:tblInd w:w="-990" w:type="dxa"/>
        <w:tblLook w:val="04A0" w:firstRow="1" w:lastRow="0" w:firstColumn="1" w:lastColumn="0" w:noHBand="0" w:noVBand="1"/>
      </w:tblPr>
      <w:tblGrid>
        <w:gridCol w:w="1950"/>
        <w:gridCol w:w="3069"/>
        <w:gridCol w:w="2969"/>
        <w:gridCol w:w="3263"/>
      </w:tblGrid>
      <w:tr w:rsidR="0098647E" w:rsidRPr="0098647E" w14:paraId="6096360C" w14:textId="77777777" w:rsidTr="00BF4195">
        <w:trPr>
          <w:cnfStyle w:val="100000000000" w:firstRow="1" w:lastRow="0" w:firstColumn="0" w:lastColumn="0" w:oddVBand="0" w:evenVBand="0" w:oddHBand="0"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1950" w:type="dxa"/>
            <w:hideMark/>
          </w:tcPr>
          <w:p w14:paraId="60E7F319" w14:textId="1B9A0CE6" w:rsidR="00BF4195" w:rsidRPr="0098647E" w:rsidRDefault="001F41BD" w:rsidP="00902398">
            <w:pPr>
              <w:spacing w:after="160" w:line="360" w:lineRule="auto"/>
              <w:jc w:val="both"/>
              <w:rPr>
                <w:rFonts w:ascii="Times New Roman" w:hAnsi="Times New Roman" w:cs="Times New Roman"/>
                <w:b w:val="0"/>
                <w:bCs w:val="0"/>
                <w:sz w:val="24"/>
                <w:szCs w:val="24"/>
                <w:lang w:val="en-US"/>
              </w:rPr>
            </w:pPr>
            <w:r w:rsidRPr="0098647E">
              <w:rPr>
                <w:rFonts w:ascii="Times New Roman" w:hAnsi="Times New Roman" w:cs="Times New Roman"/>
                <w:b w:val="0"/>
                <w:bCs w:val="0"/>
                <w:sz w:val="24"/>
                <w:szCs w:val="24"/>
                <w:lang w:val="en-US"/>
              </w:rPr>
              <w:t>Đặc điểm</w:t>
            </w:r>
          </w:p>
          <w:p w14:paraId="3D65E790" w14:textId="2C5135EC" w:rsidR="00BF4195" w:rsidRPr="0098647E" w:rsidRDefault="00BF4195" w:rsidP="00902398">
            <w:pPr>
              <w:spacing w:after="160" w:line="360" w:lineRule="auto"/>
              <w:jc w:val="both"/>
              <w:rPr>
                <w:rFonts w:ascii="Times New Roman" w:hAnsi="Times New Roman" w:cs="Times New Roman"/>
                <w:b w:val="0"/>
                <w:bCs w:val="0"/>
                <w:sz w:val="24"/>
                <w:szCs w:val="24"/>
              </w:rPr>
            </w:pPr>
          </w:p>
        </w:tc>
        <w:tc>
          <w:tcPr>
            <w:tcW w:w="3069" w:type="dxa"/>
            <w:hideMark/>
          </w:tcPr>
          <w:p w14:paraId="09716538" w14:textId="346A65AC" w:rsidR="00BF4195" w:rsidRPr="0098647E" w:rsidRDefault="00077B4C" w:rsidP="00902398">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8647E">
              <w:rPr>
                <w:rFonts w:ascii="Times New Roman" w:hAnsi="Times New Roman" w:cs="Times New Roman"/>
                <w:b w:val="0"/>
                <w:bCs w:val="0"/>
                <w:sz w:val="24"/>
                <w:szCs w:val="24"/>
              </w:rPr>
              <w:t>HER2</w:t>
            </w:r>
            <w:r w:rsidR="00BF4195" w:rsidRPr="0098647E">
              <w:rPr>
                <w:rFonts w:ascii="Times New Roman" w:hAnsi="Times New Roman" w:cs="Times New Roman"/>
                <w:b w:val="0"/>
                <w:bCs w:val="0"/>
                <w:sz w:val="24"/>
                <w:szCs w:val="24"/>
              </w:rPr>
              <w:t>-0</w:t>
            </w:r>
          </w:p>
          <w:p w14:paraId="5E44CA04" w14:textId="77777777" w:rsidR="00BF4195" w:rsidRPr="0098647E" w:rsidRDefault="00BF4195" w:rsidP="00902398">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8647E">
              <w:rPr>
                <w:rFonts w:ascii="Times New Roman" w:hAnsi="Times New Roman" w:cs="Times New Roman"/>
                <w:b w:val="0"/>
                <w:bCs w:val="0"/>
                <w:sz w:val="24"/>
                <w:szCs w:val="24"/>
              </w:rPr>
              <w:t>(n=94)</w:t>
            </w:r>
          </w:p>
        </w:tc>
        <w:tc>
          <w:tcPr>
            <w:tcW w:w="2969" w:type="dxa"/>
            <w:hideMark/>
          </w:tcPr>
          <w:p w14:paraId="1006EFE5" w14:textId="3F0D9C17" w:rsidR="00BF4195" w:rsidRPr="0098647E" w:rsidRDefault="00077B4C" w:rsidP="00902398">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US"/>
              </w:rPr>
            </w:pPr>
            <w:r w:rsidRPr="0098647E">
              <w:rPr>
                <w:rFonts w:ascii="Times New Roman" w:hAnsi="Times New Roman" w:cs="Times New Roman"/>
                <w:b w:val="0"/>
                <w:bCs w:val="0"/>
                <w:sz w:val="24"/>
                <w:szCs w:val="24"/>
              </w:rPr>
              <w:t>HER2</w:t>
            </w:r>
            <w:r w:rsidR="00BF4195" w:rsidRPr="0098647E">
              <w:rPr>
                <w:rFonts w:ascii="Times New Roman" w:hAnsi="Times New Roman" w:cs="Times New Roman"/>
                <w:b w:val="0"/>
                <w:bCs w:val="0"/>
                <w:sz w:val="24"/>
                <w:szCs w:val="24"/>
              </w:rPr>
              <w:t>-</w:t>
            </w:r>
            <w:r w:rsidR="00747604" w:rsidRPr="0098647E">
              <w:rPr>
                <w:rFonts w:ascii="Times New Roman" w:hAnsi="Times New Roman" w:cs="Times New Roman"/>
                <w:b w:val="0"/>
                <w:bCs w:val="0"/>
                <w:sz w:val="24"/>
                <w:szCs w:val="24"/>
                <w:lang w:val="en-US"/>
              </w:rPr>
              <w:t>thấp</w:t>
            </w:r>
          </w:p>
          <w:p w14:paraId="752DE201" w14:textId="77777777" w:rsidR="00BF4195" w:rsidRPr="0098647E" w:rsidRDefault="00BF4195" w:rsidP="00902398">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8647E">
              <w:rPr>
                <w:rFonts w:ascii="Times New Roman" w:hAnsi="Times New Roman" w:cs="Times New Roman"/>
                <w:b w:val="0"/>
                <w:bCs w:val="0"/>
                <w:sz w:val="24"/>
                <w:szCs w:val="24"/>
              </w:rPr>
              <w:t>(n=32)</w:t>
            </w:r>
          </w:p>
        </w:tc>
        <w:tc>
          <w:tcPr>
            <w:tcW w:w="3263" w:type="dxa"/>
            <w:hideMark/>
          </w:tcPr>
          <w:p w14:paraId="7C443AF1" w14:textId="287FFBD0" w:rsidR="00BF4195" w:rsidRPr="0098647E" w:rsidRDefault="00BF4195" w:rsidP="00902398">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8647E">
              <w:rPr>
                <w:rFonts w:ascii="Times New Roman" w:hAnsi="Times New Roman" w:cs="Times New Roman"/>
                <w:b w:val="0"/>
                <w:bCs w:val="0"/>
                <w:sz w:val="24"/>
                <w:szCs w:val="24"/>
              </w:rPr>
              <w:t>p</w:t>
            </w:r>
            <w:r w:rsidRPr="0098647E">
              <w:rPr>
                <w:rFonts w:ascii="Times New Roman" w:hAnsi="Times New Roman" w:cs="Times New Roman"/>
                <w:b w:val="0"/>
                <w:bCs w:val="0"/>
                <w:sz w:val="24"/>
                <w:szCs w:val="24"/>
                <w:lang w:val="vi-VN"/>
              </w:rPr>
              <w:t xml:space="preserve"> </w:t>
            </w:r>
          </w:p>
        </w:tc>
      </w:tr>
      <w:tr w:rsidR="0098647E" w:rsidRPr="0098647E" w14:paraId="2E61861F" w14:textId="77777777" w:rsidTr="00BF4195">
        <w:trPr>
          <w:cnfStyle w:val="000000100000" w:firstRow="0" w:lastRow="0" w:firstColumn="0" w:lastColumn="0" w:oddVBand="0" w:evenVBand="0" w:oddHBand="1" w:evenHBand="0" w:firstRowFirstColumn="0" w:firstRowLastColumn="0" w:lastRowFirstColumn="0" w:lastRowLastColumn="0"/>
          <w:trHeight w:val="786"/>
        </w:trPr>
        <w:tc>
          <w:tcPr>
            <w:cnfStyle w:val="001000000000" w:firstRow="0" w:lastRow="0" w:firstColumn="1" w:lastColumn="0" w:oddVBand="0" w:evenVBand="0" w:oddHBand="0" w:evenHBand="0" w:firstRowFirstColumn="0" w:firstRowLastColumn="0" w:lastRowFirstColumn="0" w:lastRowLastColumn="0"/>
            <w:tcW w:w="1950" w:type="dxa"/>
            <w:hideMark/>
          </w:tcPr>
          <w:p w14:paraId="4B4199A3" w14:textId="77777777" w:rsidR="00747604" w:rsidRPr="0098647E" w:rsidRDefault="00747604" w:rsidP="00902398">
            <w:pPr>
              <w:spacing w:after="160" w:line="360" w:lineRule="auto"/>
              <w:jc w:val="both"/>
              <w:rPr>
                <w:rFonts w:ascii="Times New Roman" w:hAnsi="Times New Roman" w:cs="Times New Roman"/>
                <w:b w:val="0"/>
                <w:bCs w:val="0"/>
                <w:sz w:val="24"/>
                <w:szCs w:val="24"/>
                <w:lang w:val="en-US"/>
              </w:rPr>
            </w:pPr>
            <w:r w:rsidRPr="0098647E">
              <w:rPr>
                <w:rFonts w:ascii="Times New Roman" w:hAnsi="Times New Roman" w:cs="Times New Roman"/>
                <w:b w:val="0"/>
                <w:bCs w:val="0"/>
                <w:sz w:val="24"/>
                <w:szCs w:val="24"/>
                <w:lang w:val="en-US"/>
              </w:rPr>
              <w:t>Tuổi</w:t>
            </w:r>
            <w:r w:rsidR="00BF4195" w:rsidRPr="0098647E">
              <w:rPr>
                <w:rFonts w:ascii="Times New Roman" w:hAnsi="Times New Roman" w:cs="Times New Roman"/>
                <w:b w:val="0"/>
                <w:bCs w:val="0"/>
                <w:sz w:val="24"/>
                <w:szCs w:val="24"/>
              </w:rPr>
              <w:t xml:space="preserve"> (</w:t>
            </w:r>
            <w:r w:rsidRPr="0098647E">
              <w:rPr>
                <w:rFonts w:ascii="Times New Roman" w:hAnsi="Times New Roman" w:cs="Times New Roman"/>
                <w:b w:val="0"/>
                <w:bCs w:val="0"/>
                <w:sz w:val="24"/>
                <w:szCs w:val="24"/>
                <w:lang w:val="en-US"/>
              </w:rPr>
              <w:t>năm</w:t>
            </w:r>
            <w:r w:rsidR="00BF4195" w:rsidRPr="0098647E">
              <w:rPr>
                <w:rFonts w:ascii="Times New Roman" w:hAnsi="Times New Roman" w:cs="Times New Roman"/>
                <w:b w:val="0"/>
                <w:bCs w:val="0"/>
                <w:sz w:val="24"/>
                <w:szCs w:val="24"/>
              </w:rPr>
              <w:t xml:space="preserve">), </w:t>
            </w:r>
          </w:p>
          <w:p w14:paraId="7DA445FE" w14:textId="04071547" w:rsidR="00BF4195" w:rsidRPr="0098647E" w:rsidRDefault="00747604" w:rsidP="00902398">
            <w:pPr>
              <w:spacing w:after="160" w:line="360" w:lineRule="auto"/>
              <w:jc w:val="both"/>
              <w:rPr>
                <w:rFonts w:ascii="Times New Roman" w:hAnsi="Times New Roman" w:cs="Times New Roman"/>
                <w:b w:val="0"/>
                <w:bCs w:val="0"/>
                <w:sz w:val="24"/>
                <w:szCs w:val="24"/>
              </w:rPr>
            </w:pPr>
            <w:r w:rsidRPr="0098647E">
              <w:rPr>
                <w:rFonts w:ascii="Times New Roman" w:hAnsi="Times New Roman" w:cs="Times New Roman"/>
                <w:b w:val="0"/>
                <w:bCs w:val="0"/>
                <w:sz w:val="24"/>
                <w:szCs w:val="24"/>
                <w:lang w:val="en-US"/>
              </w:rPr>
              <w:t>TB</w:t>
            </w:r>
            <w:r w:rsidR="00BF4195" w:rsidRPr="0098647E">
              <w:rPr>
                <w:rFonts w:ascii="Times New Roman" w:hAnsi="Times New Roman" w:cs="Times New Roman"/>
                <w:b w:val="0"/>
                <w:bCs w:val="0"/>
                <w:sz w:val="24"/>
                <w:szCs w:val="24"/>
              </w:rPr>
              <w:t xml:space="preserve"> </w:t>
            </w:r>
            <w:r w:rsidR="002E03AD" w:rsidRPr="0098647E">
              <w:rPr>
                <w:rFonts w:ascii="Times New Roman" w:eastAsia="Times New Roman" w:hAnsi="Times New Roman" w:cs="Times New Roman"/>
                <w:b w:val="0"/>
                <w:bCs w:val="0"/>
                <w:sz w:val="24"/>
                <w:szCs w:val="24"/>
              </w:rPr>
              <w:t>±</w:t>
            </w:r>
            <w:r w:rsidR="00BF4195" w:rsidRPr="0098647E">
              <w:rPr>
                <w:rFonts w:ascii="Times New Roman" w:hAnsi="Times New Roman" w:cs="Times New Roman"/>
                <w:b w:val="0"/>
                <w:bCs w:val="0"/>
                <w:sz w:val="24"/>
                <w:szCs w:val="24"/>
              </w:rPr>
              <w:t>SD</w:t>
            </w:r>
          </w:p>
        </w:tc>
        <w:tc>
          <w:tcPr>
            <w:tcW w:w="3069" w:type="dxa"/>
            <w:hideMark/>
          </w:tcPr>
          <w:p w14:paraId="221E2719" w14:textId="3CF05916" w:rsidR="00BF4195" w:rsidRPr="0098647E" w:rsidRDefault="00BF4195" w:rsidP="0090239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bookmarkStart w:id="2" w:name="_Hlk173173833"/>
            <w:r w:rsidRPr="0098647E">
              <w:rPr>
                <w:rFonts w:ascii="Times New Roman" w:hAnsi="Times New Roman" w:cs="Times New Roman"/>
                <w:sz w:val="24"/>
                <w:szCs w:val="24"/>
              </w:rPr>
              <w:t>53</w:t>
            </w:r>
            <w:r w:rsidR="0098647E">
              <w:rPr>
                <w:rFonts w:ascii="Times New Roman" w:hAnsi="Times New Roman" w:cs="Times New Roman"/>
                <w:sz w:val="24"/>
                <w:szCs w:val="24"/>
              </w:rPr>
              <w:t>,</w:t>
            </w:r>
            <w:r w:rsidRPr="0098647E">
              <w:rPr>
                <w:rFonts w:ascii="Times New Roman" w:hAnsi="Times New Roman" w:cs="Times New Roman"/>
                <w:sz w:val="24"/>
                <w:szCs w:val="24"/>
              </w:rPr>
              <w:t>3</w:t>
            </w:r>
            <w:r w:rsidR="002E03AD" w:rsidRPr="0098647E">
              <w:rPr>
                <w:rFonts w:ascii="Times New Roman" w:eastAsia="Times New Roman" w:hAnsi="Times New Roman" w:cs="Times New Roman"/>
                <w:sz w:val="24"/>
                <w:szCs w:val="24"/>
              </w:rPr>
              <w:t>±</w:t>
            </w:r>
            <w:r w:rsidRPr="0098647E">
              <w:rPr>
                <w:rFonts w:ascii="Times New Roman" w:hAnsi="Times New Roman" w:cs="Times New Roman"/>
                <w:sz w:val="24"/>
                <w:szCs w:val="24"/>
              </w:rPr>
              <w:t>11</w:t>
            </w:r>
            <w:r w:rsidR="0098647E">
              <w:rPr>
                <w:rFonts w:ascii="Times New Roman" w:hAnsi="Times New Roman" w:cs="Times New Roman"/>
                <w:sz w:val="24"/>
                <w:szCs w:val="24"/>
              </w:rPr>
              <w:t>,</w:t>
            </w:r>
            <w:r w:rsidRPr="0098647E">
              <w:rPr>
                <w:rFonts w:ascii="Times New Roman" w:hAnsi="Times New Roman" w:cs="Times New Roman"/>
                <w:sz w:val="24"/>
                <w:szCs w:val="24"/>
              </w:rPr>
              <w:t>0</w:t>
            </w:r>
            <w:bookmarkEnd w:id="2"/>
          </w:p>
        </w:tc>
        <w:tc>
          <w:tcPr>
            <w:tcW w:w="2969" w:type="dxa"/>
            <w:hideMark/>
          </w:tcPr>
          <w:p w14:paraId="79CEAD70" w14:textId="734E1E38" w:rsidR="00BF4195" w:rsidRPr="0098647E" w:rsidRDefault="00BF4195" w:rsidP="0090239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bookmarkStart w:id="3" w:name="_Hlk173176460"/>
            <w:r w:rsidRPr="0098647E">
              <w:rPr>
                <w:rFonts w:ascii="Times New Roman" w:hAnsi="Times New Roman" w:cs="Times New Roman"/>
                <w:sz w:val="24"/>
                <w:szCs w:val="24"/>
              </w:rPr>
              <w:t>58</w:t>
            </w:r>
            <w:r w:rsidR="0098647E">
              <w:rPr>
                <w:rFonts w:ascii="Times New Roman" w:hAnsi="Times New Roman" w:cs="Times New Roman"/>
                <w:sz w:val="24"/>
                <w:szCs w:val="24"/>
              </w:rPr>
              <w:t>,</w:t>
            </w:r>
            <w:r w:rsidRPr="0098647E">
              <w:rPr>
                <w:rFonts w:ascii="Times New Roman" w:hAnsi="Times New Roman" w:cs="Times New Roman"/>
                <w:sz w:val="24"/>
                <w:szCs w:val="24"/>
              </w:rPr>
              <w:t>6</w:t>
            </w:r>
            <w:r w:rsidR="002E03AD" w:rsidRPr="0098647E">
              <w:rPr>
                <w:rFonts w:ascii="Times New Roman" w:eastAsia="Times New Roman" w:hAnsi="Times New Roman" w:cs="Times New Roman"/>
                <w:sz w:val="24"/>
                <w:szCs w:val="24"/>
              </w:rPr>
              <w:t>±</w:t>
            </w:r>
            <w:r w:rsidRPr="0098647E">
              <w:rPr>
                <w:rFonts w:ascii="Times New Roman" w:hAnsi="Times New Roman" w:cs="Times New Roman"/>
                <w:sz w:val="24"/>
                <w:szCs w:val="24"/>
              </w:rPr>
              <w:t>10</w:t>
            </w:r>
            <w:r w:rsidR="0098647E">
              <w:rPr>
                <w:rFonts w:ascii="Times New Roman" w:hAnsi="Times New Roman" w:cs="Times New Roman"/>
                <w:sz w:val="24"/>
                <w:szCs w:val="24"/>
              </w:rPr>
              <w:t>,</w:t>
            </w:r>
            <w:r w:rsidRPr="0098647E">
              <w:rPr>
                <w:rFonts w:ascii="Times New Roman" w:hAnsi="Times New Roman" w:cs="Times New Roman"/>
                <w:sz w:val="24"/>
                <w:szCs w:val="24"/>
              </w:rPr>
              <w:t>8</w:t>
            </w:r>
            <w:bookmarkEnd w:id="3"/>
          </w:p>
        </w:tc>
        <w:tc>
          <w:tcPr>
            <w:tcW w:w="3263" w:type="dxa"/>
            <w:hideMark/>
          </w:tcPr>
          <w:p w14:paraId="08E0AD35" w14:textId="31E7D4E3" w:rsidR="00BF4195" w:rsidRPr="0098647E" w:rsidRDefault="00BF4195" w:rsidP="0090239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8647E">
              <w:rPr>
                <w:rFonts w:ascii="Times New Roman" w:hAnsi="Times New Roman" w:cs="Times New Roman"/>
                <w:sz w:val="24"/>
                <w:szCs w:val="24"/>
              </w:rPr>
              <w:t>0</w:t>
            </w:r>
            <w:r w:rsidR="0098647E">
              <w:rPr>
                <w:rFonts w:ascii="Times New Roman" w:hAnsi="Times New Roman" w:cs="Times New Roman"/>
                <w:sz w:val="24"/>
                <w:szCs w:val="24"/>
              </w:rPr>
              <w:t>,</w:t>
            </w:r>
            <w:r w:rsidRPr="0098647E">
              <w:rPr>
                <w:rFonts w:ascii="Times New Roman" w:hAnsi="Times New Roman" w:cs="Times New Roman"/>
                <w:sz w:val="24"/>
                <w:szCs w:val="24"/>
              </w:rPr>
              <w:t>02</w:t>
            </w:r>
          </w:p>
        </w:tc>
      </w:tr>
      <w:tr w:rsidR="0098647E" w:rsidRPr="0098647E" w14:paraId="2EA603B2" w14:textId="77777777" w:rsidTr="00BF4195">
        <w:trPr>
          <w:trHeight w:val="1301"/>
        </w:trPr>
        <w:tc>
          <w:tcPr>
            <w:cnfStyle w:val="001000000000" w:firstRow="0" w:lastRow="0" w:firstColumn="1" w:lastColumn="0" w:oddVBand="0" w:evenVBand="0" w:oddHBand="0" w:evenHBand="0" w:firstRowFirstColumn="0" w:firstRowLastColumn="0" w:lastRowFirstColumn="0" w:lastRowLastColumn="0"/>
            <w:tcW w:w="1950" w:type="dxa"/>
            <w:hideMark/>
          </w:tcPr>
          <w:p w14:paraId="6E63321E" w14:textId="3E0BA367" w:rsidR="00BF4195" w:rsidRPr="0098647E" w:rsidRDefault="00747604" w:rsidP="00902398">
            <w:pPr>
              <w:spacing w:after="160" w:line="360" w:lineRule="auto"/>
              <w:jc w:val="both"/>
              <w:rPr>
                <w:rFonts w:ascii="Times New Roman" w:hAnsi="Times New Roman" w:cs="Times New Roman"/>
                <w:b w:val="0"/>
                <w:bCs w:val="0"/>
                <w:sz w:val="24"/>
                <w:szCs w:val="24"/>
              </w:rPr>
            </w:pPr>
            <w:r w:rsidRPr="0098647E">
              <w:rPr>
                <w:rFonts w:ascii="Times New Roman" w:hAnsi="Times New Roman" w:cs="Times New Roman"/>
                <w:b w:val="0"/>
                <w:bCs w:val="0"/>
                <w:sz w:val="24"/>
                <w:szCs w:val="24"/>
                <w:lang w:val="en-US"/>
              </w:rPr>
              <w:t>Giai đoạn T</w:t>
            </w:r>
          </w:p>
          <w:p w14:paraId="6E86A773" w14:textId="77777777" w:rsidR="00BF4195" w:rsidRPr="0098647E" w:rsidRDefault="00BF4195" w:rsidP="00902398">
            <w:pPr>
              <w:spacing w:after="160" w:line="360" w:lineRule="auto"/>
              <w:jc w:val="both"/>
              <w:rPr>
                <w:rFonts w:ascii="Times New Roman" w:hAnsi="Times New Roman" w:cs="Times New Roman"/>
                <w:b w:val="0"/>
                <w:bCs w:val="0"/>
                <w:sz w:val="24"/>
                <w:szCs w:val="24"/>
              </w:rPr>
            </w:pPr>
            <w:r w:rsidRPr="0098647E">
              <w:rPr>
                <w:rFonts w:ascii="Times New Roman" w:hAnsi="Times New Roman" w:cs="Times New Roman"/>
                <w:b w:val="0"/>
                <w:bCs w:val="0"/>
                <w:sz w:val="24"/>
                <w:szCs w:val="24"/>
              </w:rPr>
              <w:t>1</w:t>
            </w:r>
          </w:p>
          <w:p w14:paraId="3ED2DF0A" w14:textId="77777777" w:rsidR="00BF4195" w:rsidRPr="0098647E" w:rsidRDefault="00BF4195" w:rsidP="00902398">
            <w:pPr>
              <w:spacing w:after="160" w:line="360" w:lineRule="auto"/>
              <w:jc w:val="both"/>
              <w:rPr>
                <w:rFonts w:ascii="Times New Roman" w:hAnsi="Times New Roman" w:cs="Times New Roman"/>
                <w:b w:val="0"/>
                <w:bCs w:val="0"/>
                <w:sz w:val="24"/>
                <w:szCs w:val="24"/>
              </w:rPr>
            </w:pPr>
            <w:r w:rsidRPr="0098647E">
              <w:rPr>
                <w:rFonts w:ascii="Times New Roman" w:hAnsi="Times New Roman" w:cs="Times New Roman"/>
                <w:b w:val="0"/>
                <w:bCs w:val="0"/>
                <w:sz w:val="24"/>
                <w:szCs w:val="24"/>
              </w:rPr>
              <w:t>2,3</w:t>
            </w:r>
          </w:p>
        </w:tc>
        <w:tc>
          <w:tcPr>
            <w:tcW w:w="3069" w:type="dxa"/>
            <w:hideMark/>
          </w:tcPr>
          <w:p w14:paraId="3AC34AA4" w14:textId="77777777" w:rsidR="00BF4195" w:rsidRPr="0098647E" w:rsidRDefault="00BF4195" w:rsidP="0090239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647E">
              <w:rPr>
                <w:rFonts w:ascii="Times New Roman" w:hAnsi="Times New Roman" w:cs="Times New Roman"/>
                <w:sz w:val="24"/>
                <w:szCs w:val="24"/>
                <w:lang w:val="vi-VN"/>
              </w:rPr>
              <w:t> </w:t>
            </w:r>
          </w:p>
          <w:p w14:paraId="71133E68" w14:textId="726BBE34" w:rsidR="00BF4195" w:rsidRPr="0098647E" w:rsidRDefault="00BF4195" w:rsidP="0090239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647E">
              <w:rPr>
                <w:rFonts w:ascii="Times New Roman" w:hAnsi="Times New Roman" w:cs="Times New Roman"/>
                <w:sz w:val="24"/>
                <w:szCs w:val="24"/>
              </w:rPr>
              <w:t>48 (51</w:t>
            </w:r>
            <w:r w:rsidR="0098647E">
              <w:rPr>
                <w:rFonts w:ascii="Times New Roman" w:hAnsi="Times New Roman" w:cs="Times New Roman"/>
                <w:sz w:val="24"/>
                <w:szCs w:val="24"/>
              </w:rPr>
              <w:t>,</w:t>
            </w:r>
            <w:r w:rsidRPr="0098647E">
              <w:rPr>
                <w:rFonts w:ascii="Times New Roman" w:hAnsi="Times New Roman" w:cs="Times New Roman"/>
                <w:sz w:val="24"/>
                <w:szCs w:val="24"/>
              </w:rPr>
              <w:t>1)</w:t>
            </w:r>
          </w:p>
          <w:p w14:paraId="0A4E0AE7" w14:textId="2A8D43AE" w:rsidR="00BF4195" w:rsidRPr="0098647E" w:rsidRDefault="00BF4195" w:rsidP="0090239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647E">
              <w:rPr>
                <w:rFonts w:ascii="Times New Roman" w:hAnsi="Times New Roman" w:cs="Times New Roman"/>
                <w:sz w:val="24"/>
                <w:szCs w:val="24"/>
              </w:rPr>
              <w:t>46 (48</w:t>
            </w:r>
            <w:r w:rsidR="0098647E">
              <w:rPr>
                <w:rFonts w:ascii="Times New Roman" w:hAnsi="Times New Roman" w:cs="Times New Roman"/>
                <w:sz w:val="24"/>
                <w:szCs w:val="24"/>
              </w:rPr>
              <w:t>,</w:t>
            </w:r>
            <w:r w:rsidRPr="0098647E">
              <w:rPr>
                <w:rFonts w:ascii="Times New Roman" w:hAnsi="Times New Roman" w:cs="Times New Roman"/>
                <w:sz w:val="24"/>
                <w:szCs w:val="24"/>
              </w:rPr>
              <w:t>9)</w:t>
            </w:r>
          </w:p>
        </w:tc>
        <w:tc>
          <w:tcPr>
            <w:tcW w:w="2969" w:type="dxa"/>
            <w:hideMark/>
          </w:tcPr>
          <w:p w14:paraId="6F0501C7" w14:textId="77777777" w:rsidR="00BF4195" w:rsidRPr="0098647E" w:rsidRDefault="00BF4195" w:rsidP="0090239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647E">
              <w:rPr>
                <w:rFonts w:ascii="Times New Roman" w:hAnsi="Times New Roman" w:cs="Times New Roman"/>
                <w:sz w:val="24"/>
                <w:szCs w:val="24"/>
                <w:lang w:val="vi-VN"/>
              </w:rPr>
              <w:t> </w:t>
            </w:r>
          </w:p>
          <w:p w14:paraId="2E222289" w14:textId="6B1E4DCE" w:rsidR="00BF4195" w:rsidRPr="0098647E" w:rsidRDefault="00BF4195" w:rsidP="0090239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647E">
              <w:rPr>
                <w:rFonts w:ascii="Times New Roman" w:hAnsi="Times New Roman" w:cs="Times New Roman"/>
                <w:sz w:val="24"/>
                <w:szCs w:val="24"/>
              </w:rPr>
              <w:t>13 (40</w:t>
            </w:r>
            <w:r w:rsidR="0098647E">
              <w:rPr>
                <w:rFonts w:ascii="Times New Roman" w:hAnsi="Times New Roman" w:cs="Times New Roman"/>
                <w:sz w:val="24"/>
                <w:szCs w:val="24"/>
              </w:rPr>
              <w:t>,</w:t>
            </w:r>
            <w:r w:rsidRPr="0098647E">
              <w:rPr>
                <w:rFonts w:ascii="Times New Roman" w:hAnsi="Times New Roman" w:cs="Times New Roman"/>
                <w:sz w:val="24"/>
                <w:szCs w:val="24"/>
              </w:rPr>
              <w:t>6)</w:t>
            </w:r>
          </w:p>
          <w:p w14:paraId="6E93A354" w14:textId="6604541C" w:rsidR="00BF4195" w:rsidRPr="0098647E" w:rsidRDefault="00BF4195" w:rsidP="0090239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647E">
              <w:rPr>
                <w:rFonts w:ascii="Times New Roman" w:hAnsi="Times New Roman" w:cs="Times New Roman"/>
                <w:sz w:val="24"/>
                <w:szCs w:val="24"/>
              </w:rPr>
              <w:t>19 (59</w:t>
            </w:r>
            <w:r w:rsidR="0098647E">
              <w:rPr>
                <w:rFonts w:ascii="Times New Roman" w:hAnsi="Times New Roman" w:cs="Times New Roman"/>
                <w:sz w:val="24"/>
                <w:szCs w:val="24"/>
              </w:rPr>
              <w:t>,</w:t>
            </w:r>
            <w:r w:rsidRPr="0098647E">
              <w:rPr>
                <w:rFonts w:ascii="Times New Roman" w:hAnsi="Times New Roman" w:cs="Times New Roman"/>
                <w:sz w:val="24"/>
                <w:szCs w:val="24"/>
              </w:rPr>
              <w:t>4)</w:t>
            </w:r>
          </w:p>
        </w:tc>
        <w:tc>
          <w:tcPr>
            <w:tcW w:w="3263" w:type="dxa"/>
            <w:hideMark/>
          </w:tcPr>
          <w:p w14:paraId="30EDCB3F" w14:textId="77777777" w:rsidR="00BF4195" w:rsidRPr="0098647E" w:rsidRDefault="00BF4195" w:rsidP="0090239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647E">
              <w:rPr>
                <w:rFonts w:ascii="Times New Roman" w:hAnsi="Times New Roman" w:cs="Times New Roman"/>
                <w:sz w:val="24"/>
                <w:szCs w:val="24"/>
                <w:lang w:val="vi-VN"/>
              </w:rPr>
              <w:t> </w:t>
            </w:r>
          </w:p>
          <w:p w14:paraId="2D9B01EF" w14:textId="729290AD" w:rsidR="00BF4195" w:rsidRPr="0098647E" w:rsidRDefault="00BF4195" w:rsidP="0090239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647E">
              <w:rPr>
                <w:rFonts w:ascii="Times New Roman" w:hAnsi="Times New Roman" w:cs="Times New Roman"/>
                <w:sz w:val="24"/>
                <w:szCs w:val="24"/>
              </w:rPr>
              <w:t>0</w:t>
            </w:r>
            <w:r w:rsidR="0098647E">
              <w:rPr>
                <w:rFonts w:ascii="Times New Roman" w:hAnsi="Times New Roman" w:cs="Times New Roman"/>
                <w:sz w:val="24"/>
                <w:szCs w:val="24"/>
              </w:rPr>
              <w:t>,</w:t>
            </w:r>
            <w:r w:rsidRPr="0098647E">
              <w:rPr>
                <w:rFonts w:ascii="Times New Roman" w:hAnsi="Times New Roman" w:cs="Times New Roman"/>
                <w:sz w:val="24"/>
                <w:szCs w:val="24"/>
              </w:rPr>
              <w:t>30</w:t>
            </w:r>
          </w:p>
        </w:tc>
      </w:tr>
      <w:tr w:rsidR="0098647E" w:rsidRPr="0098647E" w14:paraId="6412A3F9" w14:textId="77777777" w:rsidTr="00BF4195">
        <w:trPr>
          <w:cnfStyle w:val="000000100000" w:firstRow="0" w:lastRow="0" w:firstColumn="0" w:lastColumn="0" w:oddVBand="0" w:evenVBand="0" w:oddHBand="1" w:evenHBand="0" w:firstRowFirstColumn="0" w:firstRowLastColumn="0" w:lastRowFirstColumn="0" w:lastRowLastColumn="0"/>
          <w:trHeight w:val="1301"/>
        </w:trPr>
        <w:tc>
          <w:tcPr>
            <w:cnfStyle w:val="001000000000" w:firstRow="0" w:lastRow="0" w:firstColumn="1" w:lastColumn="0" w:oddVBand="0" w:evenVBand="0" w:oddHBand="0" w:evenHBand="0" w:firstRowFirstColumn="0" w:firstRowLastColumn="0" w:lastRowFirstColumn="0" w:lastRowLastColumn="0"/>
            <w:tcW w:w="1950" w:type="dxa"/>
            <w:hideMark/>
          </w:tcPr>
          <w:p w14:paraId="31E87D49" w14:textId="1D8A36DB" w:rsidR="00BF4195" w:rsidRPr="0098647E" w:rsidRDefault="008D7794" w:rsidP="00902398">
            <w:pPr>
              <w:spacing w:after="160" w:line="360" w:lineRule="auto"/>
              <w:jc w:val="both"/>
              <w:rPr>
                <w:rFonts w:ascii="Times New Roman" w:hAnsi="Times New Roman" w:cs="Times New Roman"/>
                <w:b w:val="0"/>
                <w:bCs w:val="0"/>
                <w:sz w:val="24"/>
                <w:szCs w:val="24"/>
                <w:lang w:val="en-US"/>
              </w:rPr>
            </w:pPr>
            <w:r w:rsidRPr="0098647E">
              <w:rPr>
                <w:rFonts w:ascii="Times New Roman" w:hAnsi="Times New Roman" w:cs="Times New Roman"/>
                <w:b w:val="0"/>
                <w:bCs w:val="0"/>
                <w:sz w:val="24"/>
                <w:szCs w:val="24"/>
              </w:rPr>
              <w:t>T</w:t>
            </w:r>
            <w:r w:rsidRPr="0098647E">
              <w:rPr>
                <w:rFonts w:ascii="Times New Roman" w:hAnsi="Times New Roman" w:cs="Times New Roman"/>
                <w:b w:val="0"/>
                <w:bCs w:val="0"/>
                <w:sz w:val="24"/>
                <w:szCs w:val="24"/>
                <w:lang w:val="en-US"/>
              </w:rPr>
              <w:t>ình trạng hạch</w:t>
            </w:r>
          </w:p>
          <w:p w14:paraId="3F1B2725" w14:textId="4DBA8E7C" w:rsidR="00BF4195" w:rsidRPr="0098647E" w:rsidRDefault="00747604" w:rsidP="00902398">
            <w:pPr>
              <w:spacing w:after="160" w:line="360" w:lineRule="auto"/>
              <w:jc w:val="both"/>
              <w:rPr>
                <w:rFonts w:ascii="Times New Roman" w:hAnsi="Times New Roman" w:cs="Times New Roman"/>
                <w:b w:val="0"/>
                <w:bCs w:val="0"/>
                <w:sz w:val="24"/>
                <w:szCs w:val="24"/>
                <w:lang w:val="en-US"/>
              </w:rPr>
            </w:pPr>
            <w:r w:rsidRPr="0098647E">
              <w:rPr>
                <w:rFonts w:ascii="Times New Roman" w:hAnsi="Times New Roman" w:cs="Times New Roman"/>
                <w:b w:val="0"/>
                <w:bCs w:val="0"/>
                <w:sz w:val="24"/>
                <w:szCs w:val="24"/>
                <w:lang w:val="en-US"/>
              </w:rPr>
              <w:t>Âm tính</w:t>
            </w:r>
          </w:p>
          <w:p w14:paraId="0FB9972D" w14:textId="18EDD34B" w:rsidR="00BF4195" w:rsidRPr="0098647E" w:rsidRDefault="00747604" w:rsidP="00902398">
            <w:pPr>
              <w:spacing w:after="160" w:line="360" w:lineRule="auto"/>
              <w:jc w:val="both"/>
              <w:rPr>
                <w:rFonts w:ascii="Times New Roman" w:hAnsi="Times New Roman" w:cs="Times New Roman"/>
                <w:b w:val="0"/>
                <w:bCs w:val="0"/>
                <w:sz w:val="24"/>
                <w:szCs w:val="24"/>
                <w:lang w:val="en-US"/>
              </w:rPr>
            </w:pPr>
            <w:r w:rsidRPr="0098647E">
              <w:rPr>
                <w:rFonts w:ascii="Times New Roman" w:hAnsi="Times New Roman" w:cs="Times New Roman"/>
                <w:b w:val="0"/>
                <w:bCs w:val="0"/>
                <w:sz w:val="24"/>
                <w:szCs w:val="24"/>
                <w:lang w:val="en-US"/>
              </w:rPr>
              <w:t>Dương tính</w:t>
            </w:r>
          </w:p>
        </w:tc>
        <w:tc>
          <w:tcPr>
            <w:tcW w:w="3069" w:type="dxa"/>
            <w:hideMark/>
          </w:tcPr>
          <w:p w14:paraId="5DE95FEE" w14:textId="77777777" w:rsidR="00BF4195" w:rsidRPr="0098647E" w:rsidRDefault="00BF4195" w:rsidP="0090239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8647E">
              <w:rPr>
                <w:rFonts w:ascii="Times New Roman" w:hAnsi="Times New Roman" w:cs="Times New Roman"/>
                <w:sz w:val="24"/>
                <w:szCs w:val="24"/>
                <w:lang w:val="vi-VN"/>
              </w:rPr>
              <w:t> </w:t>
            </w:r>
          </w:p>
          <w:p w14:paraId="5D120B58" w14:textId="58DDCC3B" w:rsidR="00BF4195" w:rsidRPr="0098647E" w:rsidRDefault="00BF4195" w:rsidP="0090239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8647E">
              <w:rPr>
                <w:rFonts w:ascii="Times New Roman" w:hAnsi="Times New Roman" w:cs="Times New Roman"/>
                <w:sz w:val="24"/>
                <w:szCs w:val="24"/>
              </w:rPr>
              <w:t>67 (71</w:t>
            </w:r>
            <w:r w:rsidR="0098647E">
              <w:rPr>
                <w:rFonts w:ascii="Times New Roman" w:hAnsi="Times New Roman" w:cs="Times New Roman"/>
                <w:sz w:val="24"/>
                <w:szCs w:val="24"/>
              </w:rPr>
              <w:t>,</w:t>
            </w:r>
            <w:r w:rsidRPr="0098647E">
              <w:rPr>
                <w:rFonts w:ascii="Times New Roman" w:hAnsi="Times New Roman" w:cs="Times New Roman"/>
                <w:sz w:val="24"/>
                <w:szCs w:val="24"/>
              </w:rPr>
              <w:t>3)</w:t>
            </w:r>
          </w:p>
          <w:p w14:paraId="184A1FAA" w14:textId="6422468C" w:rsidR="00BF4195" w:rsidRPr="0098647E" w:rsidRDefault="00BF4195" w:rsidP="0090239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8647E">
              <w:rPr>
                <w:rFonts w:ascii="Times New Roman" w:hAnsi="Times New Roman" w:cs="Times New Roman"/>
                <w:sz w:val="24"/>
                <w:szCs w:val="24"/>
              </w:rPr>
              <w:t>27 (28</w:t>
            </w:r>
            <w:r w:rsidR="0098647E">
              <w:rPr>
                <w:rFonts w:ascii="Times New Roman" w:hAnsi="Times New Roman" w:cs="Times New Roman"/>
                <w:sz w:val="24"/>
                <w:szCs w:val="24"/>
              </w:rPr>
              <w:t>,</w:t>
            </w:r>
            <w:r w:rsidRPr="0098647E">
              <w:rPr>
                <w:rFonts w:ascii="Times New Roman" w:hAnsi="Times New Roman" w:cs="Times New Roman"/>
                <w:sz w:val="24"/>
                <w:szCs w:val="24"/>
              </w:rPr>
              <w:t>7)</w:t>
            </w:r>
          </w:p>
        </w:tc>
        <w:tc>
          <w:tcPr>
            <w:tcW w:w="2969" w:type="dxa"/>
            <w:hideMark/>
          </w:tcPr>
          <w:p w14:paraId="6EAD776D" w14:textId="77777777" w:rsidR="00BF4195" w:rsidRPr="0098647E" w:rsidRDefault="00BF4195" w:rsidP="0090239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8647E">
              <w:rPr>
                <w:rFonts w:ascii="Times New Roman" w:hAnsi="Times New Roman" w:cs="Times New Roman"/>
                <w:sz w:val="24"/>
                <w:szCs w:val="24"/>
                <w:lang w:val="vi-VN"/>
              </w:rPr>
              <w:t> </w:t>
            </w:r>
          </w:p>
          <w:p w14:paraId="0FCB730F" w14:textId="2685B067" w:rsidR="00BF4195" w:rsidRPr="0098647E" w:rsidRDefault="00BF4195" w:rsidP="0090239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8647E">
              <w:rPr>
                <w:rFonts w:ascii="Times New Roman" w:hAnsi="Times New Roman" w:cs="Times New Roman"/>
                <w:sz w:val="24"/>
                <w:szCs w:val="24"/>
              </w:rPr>
              <w:t>26 (81</w:t>
            </w:r>
            <w:r w:rsidR="0098647E">
              <w:rPr>
                <w:rFonts w:ascii="Times New Roman" w:hAnsi="Times New Roman" w:cs="Times New Roman"/>
                <w:sz w:val="24"/>
                <w:szCs w:val="24"/>
              </w:rPr>
              <w:t>,</w:t>
            </w:r>
            <w:r w:rsidRPr="0098647E">
              <w:rPr>
                <w:rFonts w:ascii="Times New Roman" w:hAnsi="Times New Roman" w:cs="Times New Roman"/>
                <w:sz w:val="24"/>
                <w:szCs w:val="24"/>
              </w:rPr>
              <w:t>3)</w:t>
            </w:r>
          </w:p>
          <w:p w14:paraId="0B09ADA4" w14:textId="666889AF" w:rsidR="00BF4195" w:rsidRPr="0098647E" w:rsidRDefault="00BF4195" w:rsidP="0090239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8647E">
              <w:rPr>
                <w:rFonts w:ascii="Times New Roman" w:hAnsi="Times New Roman" w:cs="Times New Roman"/>
                <w:sz w:val="24"/>
                <w:szCs w:val="24"/>
              </w:rPr>
              <w:t>6 (18</w:t>
            </w:r>
            <w:r w:rsidR="0098647E">
              <w:rPr>
                <w:rFonts w:ascii="Times New Roman" w:hAnsi="Times New Roman" w:cs="Times New Roman"/>
                <w:sz w:val="24"/>
                <w:szCs w:val="24"/>
              </w:rPr>
              <w:t>,</w:t>
            </w:r>
            <w:r w:rsidRPr="0098647E">
              <w:rPr>
                <w:rFonts w:ascii="Times New Roman" w:hAnsi="Times New Roman" w:cs="Times New Roman"/>
                <w:sz w:val="24"/>
                <w:szCs w:val="24"/>
              </w:rPr>
              <w:t>8)</w:t>
            </w:r>
          </w:p>
        </w:tc>
        <w:tc>
          <w:tcPr>
            <w:tcW w:w="3263" w:type="dxa"/>
            <w:hideMark/>
          </w:tcPr>
          <w:p w14:paraId="0D571FFB" w14:textId="77777777" w:rsidR="00BF4195" w:rsidRPr="0098647E" w:rsidRDefault="00BF4195" w:rsidP="0090239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8647E">
              <w:rPr>
                <w:rFonts w:ascii="Times New Roman" w:hAnsi="Times New Roman" w:cs="Times New Roman"/>
                <w:sz w:val="24"/>
                <w:szCs w:val="24"/>
                <w:lang w:val="vi-VN"/>
              </w:rPr>
              <w:t> </w:t>
            </w:r>
          </w:p>
          <w:p w14:paraId="6272AAE3" w14:textId="15CB78F8" w:rsidR="00BF4195" w:rsidRPr="0098647E" w:rsidRDefault="00BF4195" w:rsidP="0090239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8647E">
              <w:rPr>
                <w:rFonts w:ascii="Times New Roman" w:hAnsi="Times New Roman" w:cs="Times New Roman"/>
                <w:sz w:val="24"/>
                <w:szCs w:val="24"/>
              </w:rPr>
              <w:t>0</w:t>
            </w:r>
            <w:r w:rsidR="0098647E">
              <w:rPr>
                <w:rFonts w:ascii="Times New Roman" w:hAnsi="Times New Roman" w:cs="Times New Roman"/>
                <w:sz w:val="24"/>
                <w:szCs w:val="24"/>
              </w:rPr>
              <w:t>,</w:t>
            </w:r>
            <w:r w:rsidRPr="0098647E">
              <w:rPr>
                <w:rFonts w:ascii="Times New Roman" w:hAnsi="Times New Roman" w:cs="Times New Roman"/>
                <w:sz w:val="24"/>
                <w:szCs w:val="24"/>
              </w:rPr>
              <w:t>22</w:t>
            </w:r>
          </w:p>
        </w:tc>
      </w:tr>
      <w:tr w:rsidR="0098647E" w:rsidRPr="0098647E" w14:paraId="7162E0C6" w14:textId="77777777" w:rsidTr="00BF4195">
        <w:trPr>
          <w:trHeight w:val="1301"/>
        </w:trPr>
        <w:tc>
          <w:tcPr>
            <w:cnfStyle w:val="001000000000" w:firstRow="0" w:lastRow="0" w:firstColumn="1" w:lastColumn="0" w:oddVBand="0" w:evenVBand="0" w:oddHBand="0" w:evenHBand="0" w:firstRowFirstColumn="0" w:firstRowLastColumn="0" w:lastRowFirstColumn="0" w:lastRowLastColumn="0"/>
            <w:tcW w:w="1950" w:type="dxa"/>
            <w:hideMark/>
          </w:tcPr>
          <w:p w14:paraId="3A297BAC" w14:textId="7BD55688" w:rsidR="00BF4195" w:rsidRPr="0098647E" w:rsidRDefault="00747604" w:rsidP="00902398">
            <w:pPr>
              <w:spacing w:after="160" w:line="360" w:lineRule="auto"/>
              <w:jc w:val="both"/>
              <w:rPr>
                <w:rFonts w:ascii="Times New Roman" w:hAnsi="Times New Roman" w:cs="Times New Roman"/>
                <w:b w:val="0"/>
                <w:bCs w:val="0"/>
                <w:sz w:val="24"/>
                <w:szCs w:val="24"/>
                <w:lang w:val="en-US"/>
              </w:rPr>
            </w:pPr>
            <w:r w:rsidRPr="0098647E">
              <w:rPr>
                <w:rFonts w:ascii="Times New Roman" w:hAnsi="Times New Roman" w:cs="Times New Roman"/>
                <w:b w:val="0"/>
                <w:bCs w:val="0"/>
                <w:sz w:val="24"/>
                <w:szCs w:val="24"/>
                <w:lang w:val="en-US"/>
              </w:rPr>
              <w:t>Độ mô học</w:t>
            </w:r>
          </w:p>
          <w:p w14:paraId="647A44C2" w14:textId="77777777" w:rsidR="00BF4195" w:rsidRPr="0098647E" w:rsidRDefault="00BF4195" w:rsidP="00902398">
            <w:pPr>
              <w:spacing w:after="160" w:line="360" w:lineRule="auto"/>
              <w:jc w:val="both"/>
              <w:rPr>
                <w:rFonts w:ascii="Times New Roman" w:hAnsi="Times New Roman" w:cs="Times New Roman"/>
                <w:b w:val="0"/>
                <w:bCs w:val="0"/>
                <w:sz w:val="24"/>
                <w:szCs w:val="24"/>
              </w:rPr>
            </w:pPr>
            <w:r w:rsidRPr="0098647E">
              <w:rPr>
                <w:rFonts w:ascii="Times New Roman" w:hAnsi="Times New Roman" w:cs="Times New Roman"/>
                <w:b w:val="0"/>
                <w:bCs w:val="0"/>
                <w:sz w:val="24"/>
                <w:szCs w:val="24"/>
              </w:rPr>
              <w:t>1,2</w:t>
            </w:r>
          </w:p>
          <w:p w14:paraId="41ACA70F" w14:textId="77777777" w:rsidR="00BF4195" w:rsidRPr="0098647E" w:rsidRDefault="00BF4195" w:rsidP="00902398">
            <w:pPr>
              <w:spacing w:after="160" w:line="360" w:lineRule="auto"/>
              <w:jc w:val="both"/>
              <w:rPr>
                <w:rFonts w:ascii="Times New Roman" w:hAnsi="Times New Roman" w:cs="Times New Roman"/>
                <w:b w:val="0"/>
                <w:bCs w:val="0"/>
                <w:sz w:val="24"/>
                <w:szCs w:val="24"/>
              </w:rPr>
            </w:pPr>
            <w:r w:rsidRPr="0098647E">
              <w:rPr>
                <w:rFonts w:ascii="Times New Roman" w:hAnsi="Times New Roman" w:cs="Times New Roman"/>
                <w:b w:val="0"/>
                <w:bCs w:val="0"/>
                <w:sz w:val="24"/>
                <w:szCs w:val="24"/>
              </w:rPr>
              <w:t>3</w:t>
            </w:r>
          </w:p>
        </w:tc>
        <w:tc>
          <w:tcPr>
            <w:tcW w:w="3069" w:type="dxa"/>
            <w:hideMark/>
          </w:tcPr>
          <w:p w14:paraId="1791C976" w14:textId="77777777" w:rsidR="00BF4195" w:rsidRPr="0098647E" w:rsidRDefault="00BF4195" w:rsidP="0090239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647E">
              <w:rPr>
                <w:rFonts w:ascii="Times New Roman" w:hAnsi="Times New Roman" w:cs="Times New Roman"/>
                <w:sz w:val="24"/>
                <w:szCs w:val="24"/>
              </w:rPr>
              <w:t> </w:t>
            </w:r>
          </w:p>
          <w:p w14:paraId="4EEA73A1" w14:textId="41FC55F7" w:rsidR="00BF4195" w:rsidRPr="0098647E" w:rsidRDefault="00BF4195" w:rsidP="0090239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647E">
              <w:rPr>
                <w:rFonts w:ascii="Times New Roman" w:hAnsi="Times New Roman" w:cs="Times New Roman"/>
                <w:sz w:val="24"/>
                <w:szCs w:val="24"/>
              </w:rPr>
              <w:t>40 (42</w:t>
            </w:r>
            <w:r w:rsidR="0098647E">
              <w:rPr>
                <w:rFonts w:ascii="Times New Roman" w:hAnsi="Times New Roman" w:cs="Times New Roman"/>
                <w:sz w:val="24"/>
                <w:szCs w:val="24"/>
              </w:rPr>
              <w:t>,</w:t>
            </w:r>
            <w:r w:rsidRPr="0098647E">
              <w:rPr>
                <w:rFonts w:ascii="Times New Roman" w:hAnsi="Times New Roman" w:cs="Times New Roman"/>
                <w:sz w:val="24"/>
                <w:szCs w:val="24"/>
              </w:rPr>
              <w:t>6)</w:t>
            </w:r>
          </w:p>
          <w:p w14:paraId="1362D76F" w14:textId="698BA616" w:rsidR="00BF4195" w:rsidRPr="0098647E" w:rsidRDefault="00BF4195" w:rsidP="0090239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647E">
              <w:rPr>
                <w:rFonts w:ascii="Times New Roman" w:hAnsi="Times New Roman" w:cs="Times New Roman"/>
                <w:sz w:val="24"/>
                <w:szCs w:val="24"/>
              </w:rPr>
              <w:t>54 (57</w:t>
            </w:r>
            <w:r w:rsidR="0098647E">
              <w:rPr>
                <w:rFonts w:ascii="Times New Roman" w:hAnsi="Times New Roman" w:cs="Times New Roman"/>
                <w:sz w:val="24"/>
                <w:szCs w:val="24"/>
              </w:rPr>
              <w:t>,</w:t>
            </w:r>
            <w:r w:rsidRPr="0098647E">
              <w:rPr>
                <w:rFonts w:ascii="Times New Roman" w:hAnsi="Times New Roman" w:cs="Times New Roman"/>
                <w:sz w:val="24"/>
                <w:szCs w:val="24"/>
              </w:rPr>
              <w:t>4)</w:t>
            </w:r>
          </w:p>
        </w:tc>
        <w:tc>
          <w:tcPr>
            <w:tcW w:w="2969" w:type="dxa"/>
            <w:hideMark/>
          </w:tcPr>
          <w:p w14:paraId="51EF7F09" w14:textId="77777777" w:rsidR="00BF4195" w:rsidRPr="0098647E" w:rsidRDefault="00BF4195" w:rsidP="0090239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647E">
              <w:rPr>
                <w:rFonts w:ascii="Times New Roman" w:hAnsi="Times New Roman" w:cs="Times New Roman"/>
                <w:sz w:val="24"/>
                <w:szCs w:val="24"/>
              </w:rPr>
              <w:t> </w:t>
            </w:r>
          </w:p>
          <w:p w14:paraId="6BE96192" w14:textId="2AB821A7" w:rsidR="00BF4195" w:rsidRPr="0098647E" w:rsidRDefault="00BF4195" w:rsidP="0090239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647E">
              <w:rPr>
                <w:rFonts w:ascii="Times New Roman" w:hAnsi="Times New Roman" w:cs="Times New Roman"/>
                <w:sz w:val="24"/>
                <w:szCs w:val="24"/>
              </w:rPr>
              <w:t>19 (58</w:t>
            </w:r>
            <w:r w:rsidR="0098647E">
              <w:rPr>
                <w:rFonts w:ascii="Times New Roman" w:hAnsi="Times New Roman" w:cs="Times New Roman"/>
                <w:sz w:val="24"/>
                <w:szCs w:val="24"/>
              </w:rPr>
              <w:t>,</w:t>
            </w:r>
            <w:r w:rsidRPr="0098647E">
              <w:rPr>
                <w:rFonts w:ascii="Times New Roman" w:hAnsi="Times New Roman" w:cs="Times New Roman"/>
                <w:sz w:val="24"/>
                <w:szCs w:val="24"/>
              </w:rPr>
              <w:t>4)</w:t>
            </w:r>
          </w:p>
          <w:p w14:paraId="73510E0E" w14:textId="2DB33CB3" w:rsidR="00BF4195" w:rsidRPr="0098647E" w:rsidRDefault="00BF4195" w:rsidP="0090239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647E">
              <w:rPr>
                <w:rFonts w:ascii="Times New Roman" w:hAnsi="Times New Roman" w:cs="Times New Roman"/>
                <w:sz w:val="24"/>
                <w:szCs w:val="24"/>
              </w:rPr>
              <w:t>13 (40</w:t>
            </w:r>
            <w:r w:rsidR="0098647E">
              <w:rPr>
                <w:rFonts w:ascii="Times New Roman" w:hAnsi="Times New Roman" w:cs="Times New Roman"/>
                <w:sz w:val="24"/>
                <w:szCs w:val="24"/>
              </w:rPr>
              <w:t>,</w:t>
            </w:r>
            <w:r w:rsidRPr="0098647E">
              <w:rPr>
                <w:rFonts w:ascii="Times New Roman" w:hAnsi="Times New Roman" w:cs="Times New Roman"/>
                <w:sz w:val="24"/>
                <w:szCs w:val="24"/>
              </w:rPr>
              <w:t>6)</w:t>
            </w:r>
          </w:p>
        </w:tc>
        <w:tc>
          <w:tcPr>
            <w:tcW w:w="3263" w:type="dxa"/>
            <w:hideMark/>
          </w:tcPr>
          <w:p w14:paraId="07951E35" w14:textId="77777777" w:rsidR="00BF4195" w:rsidRPr="0098647E" w:rsidRDefault="00BF4195" w:rsidP="0090239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647E">
              <w:rPr>
                <w:rFonts w:ascii="Times New Roman" w:hAnsi="Times New Roman" w:cs="Times New Roman"/>
                <w:sz w:val="24"/>
                <w:szCs w:val="24"/>
                <w:lang w:val="vi-VN"/>
              </w:rPr>
              <w:t> </w:t>
            </w:r>
          </w:p>
          <w:p w14:paraId="7EB4991D" w14:textId="50A7E20D" w:rsidR="00BF4195" w:rsidRPr="0098647E" w:rsidRDefault="00BF4195" w:rsidP="0090239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647E">
              <w:rPr>
                <w:rFonts w:ascii="Times New Roman" w:hAnsi="Times New Roman" w:cs="Times New Roman"/>
                <w:sz w:val="24"/>
                <w:szCs w:val="24"/>
              </w:rPr>
              <w:t>0</w:t>
            </w:r>
            <w:r w:rsidR="0098647E">
              <w:rPr>
                <w:rFonts w:ascii="Times New Roman" w:hAnsi="Times New Roman" w:cs="Times New Roman"/>
                <w:sz w:val="24"/>
                <w:szCs w:val="24"/>
              </w:rPr>
              <w:t>,</w:t>
            </w:r>
            <w:r w:rsidRPr="0098647E">
              <w:rPr>
                <w:rFonts w:ascii="Times New Roman" w:hAnsi="Times New Roman" w:cs="Times New Roman"/>
                <w:sz w:val="24"/>
                <w:szCs w:val="24"/>
              </w:rPr>
              <w:t>19</w:t>
            </w:r>
          </w:p>
        </w:tc>
      </w:tr>
      <w:tr w:rsidR="0098647E" w:rsidRPr="0098647E" w14:paraId="61B31ABF" w14:textId="77777777" w:rsidTr="00BF4195">
        <w:trPr>
          <w:cnfStyle w:val="000000100000" w:firstRow="0" w:lastRow="0" w:firstColumn="0" w:lastColumn="0" w:oddVBand="0" w:evenVBand="0" w:oddHBand="1" w:evenHBand="0" w:firstRowFirstColumn="0" w:firstRowLastColumn="0" w:lastRowFirstColumn="0" w:lastRowLastColumn="0"/>
          <w:trHeight w:val="1301"/>
        </w:trPr>
        <w:tc>
          <w:tcPr>
            <w:cnfStyle w:val="001000000000" w:firstRow="0" w:lastRow="0" w:firstColumn="1" w:lastColumn="0" w:oddVBand="0" w:evenVBand="0" w:oddHBand="0" w:evenHBand="0" w:firstRowFirstColumn="0" w:firstRowLastColumn="0" w:lastRowFirstColumn="0" w:lastRowLastColumn="0"/>
            <w:tcW w:w="1950" w:type="dxa"/>
            <w:hideMark/>
          </w:tcPr>
          <w:p w14:paraId="7955F3DA" w14:textId="2159BCF9" w:rsidR="00BF4195" w:rsidRPr="0098647E" w:rsidRDefault="00BF4195" w:rsidP="00902398">
            <w:pPr>
              <w:spacing w:after="160" w:line="360" w:lineRule="auto"/>
              <w:jc w:val="both"/>
              <w:rPr>
                <w:rFonts w:ascii="Times New Roman" w:hAnsi="Times New Roman" w:cs="Times New Roman"/>
                <w:b w:val="0"/>
                <w:bCs w:val="0"/>
                <w:sz w:val="24"/>
                <w:szCs w:val="24"/>
              </w:rPr>
            </w:pPr>
            <w:r w:rsidRPr="0098647E">
              <w:rPr>
                <w:rFonts w:ascii="Times New Roman" w:hAnsi="Times New Roman" w:cs="Times New Roman"/>
                <w:b w:val="0"/>
                <w:bCs w:val="0"/>
                <w:sz w:val="24"/>
                <w:szCs w:val="24"/>
              </w:rPr>
              <w:t>Ki67 (%)</w:t>
            </w:r>
          </w:p>
          <w:p w14:paraId="7178EFFF" w14:textId="77777777" w:rsidR="00BF4195" w:rsidRPr="0098647E" w:rsidRDefault="00BF4195" w:rsidP="00902398">
            <w:pPr>
              <w:spacing w:after="160" w:line="360" w:lineRule="auto"/>
              <w:jc w:val="both"/>
              <w:rPr>
                <w:rFonts w:ascii="Times New Roman" w:hAnsi="Times New Roman" w:cs="Times New Roman"/>
                <w:b w:val="0"/>
                <w:bCs w:val="0"/>
                <w:sz w:val="24"/>
                <w:szCs w:val="24"/>
              </w:rPr>
            </w:pPr>
            <w:r w:rsidRPr="0098647E">
              <w:rPr>
                <w:rFonts w:ascii="Times New Roman" w:hAnsi="Times New Roman" w:cs="Times New Roman"/>
                <w:b w:val="0"/>
                <w:bCs w:val="0"/>
                <w:sz w:val="24"/>
                <w:szCs w:val="24"/>
              </w:rPr>
              <w:t>&lt;=50</w:t>
            </w:r>
          </w:p>
          <w:p w14:paraId="479C08F1" w14:textId="77777777" w:rsidR="00BF4195" w:rsidRPr="0098647E" w:rsidRDefault="00BF4195" w:rsidP="00902398">
            <w:pPr>
              <w:spacing w:after="160" w:line="360" w:lineRule="auto"/>
              <w:jc w:val="both"/>
              <w:rPr>
                <w:rFonts w:ascii="Times New Roman" w:hAnsi="Times New Roman" w:cs="Times New Roman"/>
                <w:b w:val="0"/>
                <w:bCs w:val="0"/>
                <w:sz w:val="24"/>
                <w:szCs w:val="24"/>
              </w:rPr>
            </w:pPr>
            <w:r w:rsidRPr="0098647E">
              <w:rPr>
                <w:rFonts w:ascii="Times New Roman" w:hAnsi="Times New Roman" w:cs="Times New Roman"/>
                <w:b w:val="0"/>
                <w:bCs w:val="0"/>
                <w:sz w:val="24"/>
                <w:szCs w:val="24"/>
              </w:rPr>
              <w:t>&gt;50</w:t>
            </w:r>
          </w:p>
        </w:tc>
        <w:tc>
          <w:tcPr>
            <w:tcW w:w="3069" w:type="dxa"/>
            <w:hideMark/>
          </w:tcPr>
          <w:p w14:paraId="480FD067" w14:textId="77777777" w:rsidR="00BF4195" w:rsidRPr="0098647E" w:rsidRDefault="00BF4195" w:rsidP="0090239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8647E">
              <w:rPr>
                <w:rFonts w:ascii="Times New Roman" w:hAnsi="Times New Roman" w:cs="Times New Roman"/>
                <w:sz w:val="24"/>
                <w:szCs w:val="24"/>
                <w:lang w:val="vi-VN"/>
              </w:rPr>
              <w:t> </w:t>
            </w:r>
          </w:p>
          <w:p w14:paraId="21BAEADE" w14:textId="0535B6D5" w:rsidR="00BF4195" w:rsidRPr="0098647E" w:rsidRDefault="00BF4195" w:rsidP="0090239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8647E">
              <w:rPr>
                <w:rFonts w:ascii="Times New Roman" w:hAnsi="Times New Roman" w:cs="Times New Roman"/>
                <w:sz w:val="24"/>
                <w:szCs w:val="24"/>
              </w:rPr>
              <w:t>24 (25</w:t>
            </w:r>
            <w:r w:rsidR="0098647E">
              <w:rPr>
                <w:rFonts w:ascii="Times New Roman" w:hAnsi="Times New Roman" w:cs="Times New Roman"/>
                <w:sz w:val="24"/>
                <w:szCs w:val="24"/>
              </w:rPr>
              <w:t>,</w:t>
            </w:r>
            <w:r w:rsidRPr="0098647E">
              <w:rPr>
                <w:rFonts w:ascii="Times New Roman" w:hAnsi="Times New Roman" w:cs="Times New Roman"/>
                <w:sz w:val="24"/>
                <w:szCs w:val="24"/>
              </w:rPr>
              <w:t>5)</w:t>
            </w:r>
          </w:p>
          <w:p w14:paraId="1AD10C42" w14:textId="246657F4" w:rsidR="00BF4195" w:rsidRPr="0098647E" w:rsidRDefault="00BF4195" w:rsidP="0090239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8647E">
              <w:rPr>
                <w:rFonts w:ascii="Times New Roman" w:hAnsi="Times New Roman" w:cs="Times New Roman"/>
                <w:sz w:val="24"/>
                <w:szCs w:val="24"/>
              </w:rPr>
              <w:t>70 (74</w:t>
            </w:r>
            <w:r w:rsidR="0098647E">
              <w:rPr>
                <w:rFonts w:ascii="Times New Roman" w:hAnsi="Times New Roman" w:cs="Times New Roman"/>
                <w:sz w:val="24"/>
                <w:szCs w:val="24"/>
              </w:rPr>
              <w:t>,</w:t>
            </w:r>
            <w:r w:rsidRPr="0098647E">
              <w:rPr>
                <w:rFonts w:ascii="Times New Roman" w:hAnsi="Times New Roman" w:cs="Times New Roman"/>
                <w:sz w:val="24"/>
                <w:szCs w:val="24"/>
              </w:rPr>
              <w:t>5)</w:t>
            </w:r>
          </w:p>
        </w:tc>
        <w:tc>
          <w:tcPr>
            <w:tcW w:w="2969" w:type="dxa"/>
            <w:hideMark/>
          </w:tcPr>
          <w:p w14:paraId="60D01000" w14:textId="77777777" w:rsidR="00BF4195" w:rsidRPr="0098647E" w:rsidRDefault="00BF4195" w:rsidP="0090239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8647E">
              <w:rPr>
                <w:rFonts w:ascii="Times New Roman" w:hAnsi="Times New Roman" w:cs="Times New Roman"/>
                <w:sz w:val="24"/>
                <w:szCs w:val="24"/>
                <w:lang w:val="vi-VN"/>
              </w:rPr>
              <w:t> </w:t>
            </w:r>
          </w:p>
          <w:p w14:paraId="2902A98B" w14:textId="5B6A281E" w:rsidR="00BF4195" w:rsidRPr="0098647E" w:rsidRDefault="00BF4195" w:rsidP="0090239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8647E">
              <w:rPr>
                <w:rFonts w:ascii="Times New Roman" w:hAnsi="Times New Roman" w:cs="Times New Roman"/>
                <w:sz w:val="24"/>
                <w:szCs w:val="24"/>
              </w:rPr>
              <w:t>14 (43</w:t>
            </w:r>
            <w:r w:rsidR="0098647E">
              <w:rPr>
                <w:rFonts w:ascii="Times New Roman" w:hAnsi="Times New Roman" w:cs="Times New Roman"/>
                <w:sz w:val="24"/>
                <w:szCs w:val="24"/>
              </w:rPr>
              <w:t>,</w:t>
            </w:r>
            <w:r w:rsidRPr="0098647E">
              <w:rPr>
                <w:rFonts w:ascii="Times New Roman" w:hAnsi="Times New Roman" w:cs="Times New Roman"/>
                <w:sz w:val="24"/>
                <w:szCs w:val="24"/>
              </w:rPr>
              <w:t>8)</w:t>
            </w:r>
          </w:p>
          <w:p w14:paraId="662EEF4B" w14:textId="00CC4B52" w:rsidR="00BF4195" w:rsidRPr="0098647E" w:rsidRDefault="00BF4195" w:rsidP="0090239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8647E">
              <w:rPr>
                <w:rFonts w:ascii="Times New Roman" w:hAnsi="Times New Roman" w:cs="Times New Roman"/>
                <w:sz w:val="24"/>
                <w:szCs w:val="24"/>
              </w:rPr>
              <w:t>54 (56</w:t>
            </w:r>
            <w:r w:rsidR="0098647E">
              <w:rPr>
                <w:rFonts w:ascii="Times New Roman" w:hAnsi="Times New Roman" w:cs="Times New Roman"/>
                <w:sz w:val="24"/>
                <w:szCs w:val="24"/>
              </w:rPr>
              <w:t>,</w:t>
            </w:r>
            <w:r w:rsidRPr="0098647E">
              <w:rPr>
                <w:rFonts w:ascii="Times New Roman" w:hAnsi="Times New Roman" w:cs="Times New Roman"/>
                <w:sz w:val="24"/>
                <w:szCs w:val="24"/>
              </w:rPr>
              <w:t>3)</w:t>
            </w:r>
          </w:p>
        </w:tc>
        <w:tc>
          <w:tcPr>
            <w:tcW w:w="3263" w:type="dxa"/>
            <w:hideMark/>
          </w:tcPr>
          <w:p w14:paraId="319EFA1F" w14:textId="77777777" w:rsidR="00BF4195" w:rsidRPr="0098647E" w:rsidRDefault="00BF4195" w:rsidP="0090239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8647E">
              <w:rPr>
                <w:rFonts w:ascii="Times New Roman" w:hAnsi="Times New Roman" w:cs="Times New Roman"/>
                <w:sz w:val="24"/>
                <w:szCs w:val="24"/>
                <w:lang w:val="vi-VN"/>
              </w:rPr>
              <w:t> </w:t>
            </w:r>
          </w:p>
          <w:p w14:paraId="3AEE43FD" w14:textId="10485C59" w:rsidR="00BF4195" w:rsidRPr="0098647E" w:rsidRDefault="00BF4195" w:rsidP="0090239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8647E">
              <w:rPr>
                <w:rFonts w:ascii="Times New Roman" w:hAnsi="Times New Roman" w:cs="Times New Roman"/>
                <w:sz w:val="24"/>
                <w:szCs w:val="24"/>
              </w:rPr>
              <w:t>0</w:t>
            </w:r>
            <w:r w:rsidR="0098647E">
              <w:rPr>
                <w:rFonts w:ascii="Times New Roman" w:hAnsi="Times New Roman" w:cs="Times New Roman"/>
                <w:sz w:val="24"/>
                <w:szCs w:val="24"/>
              </w:rPr>
              <w:t>,</w:t>
            </w:r>
            <w:r w:rsidRPr="0098647E">
              <w:rPr>
                <w:rFonts w:ascii="Times New Roman" w:hAnsi="Times New Roman" w:cs="Times New Roman"/>
                <w:sz w:val="24"/>
                <w:szCs w:val="24"/>
              </w:rPr>
              <w:t>05</w:t>
            </w:r>
          </w:p>
        </w:tc>
      </w:tr>
      <w:tr w:rsidR="0098647E" w:rsidRPr="0098647E" w14:paraId="6A874397" w14:textId="77777777" w:rsidTr="00BF4195">
        <w:trPr>
          <w:trHeight w:val="1301"/>
        </w:trPr>
        <w:tc>
          <w:tcPr>
            <w:cnfStyle w:val="001000000000" w:firstRow="0" w:lastRow="0" w:firstColumn="1" w:lastColumn="0" w:oddVBand="0" w:evenVBand="0" w:oddHBand="0" w:evenHBand="0" w:firstRowFirstColumn="0" w:firstRowLastColumn="0" w:lastRowFirstColumn="0" w:lastRowLastColumn="0"/>
            <w:tcW w:w="1950" w:type="dxa"/>
            <w:hideMark/>
          </w:tcPr>
          <w:p w14:paraId="2F16096C" w14:textId="0662C50D" w:rsidR="00BF4195" w:rsidRPr="0098647E" w:rsidRDefault="00976B18" w:rsidP="00902398">
            <w:pPr>
              <w:spacing w:after="160" w:line="360" w:lineRule="auto"/>
              <w:jc w:val="both"/>
              <w:rPr>
                <w:rFonts w:ascii="Times New Roman" w:hAnsi="Times New Roman" w:cs="Times New Roman"/>
                <w:b w:val="0"/>
                <w:bCs w:val="0"/>
                <w:sz w:val="24"/>
                <w:szCs w:val="24"/>
                <w:lang w:val="en-US"/>
              </w:rPr>
            </w:pPr>
            <w:r w:rsidRPr="0098647E">
              <w:rPr>
                <w:rFonts w:ascii="Times New Roman" w:hAnsi="Times New Roman" w:cs="Times New Roman"/>
                <w:b w:val="0"/>
                <w:bCs w:val="0"/>
                <w:sz w:val="24"/>
                <w:szCs w:val="24"/>
                <w:lang w:val="en-US"/>
              </w:rPr>
              <w:t>Xâm nhập mạch</w:t>
            </w:r>
          </w:p>
          <w:p w14:paraId="7B744D9F" w14:textId="74145196" w:rsidR="00BF4195" w:rsidRPr="0098647E" w:rsidRDefault="00976B18" w:rsidP="00902398">
            <w:pPr>
              <w:spacing w:after="160" w:line="360" w:lineRule="auto"/>
              <w:jc w:val="both"/>
              <w:rPr>
                <w:rFonts w:ascii="Times New Roman" w:hAnsi="Times New Roman" w:cs="Times New Roman"/>
                <w:b w:val="0"/>
                <w:bCs w:val="0"/>
                <w:sz w:val="24"/>
                <w:szCs w:val="24"/>
                <w:lang w:val="en-US"/>
              </w:rPr>
            </w:pPr>
            <w:r w:rsidRPr="0098647E">
              <w:rPr>
                <w:rFonts w:ascii="Times New Roman" w:hAnsi="Times New Roman" w:cs="Times New Roman"/>
                <w:b w:val="0"/>
                <w:bCs w:val="0"/>
                <w:sz w:val="24"/>
                <w:szCs w:val="24"/>
                <w:lang w:val="en-US"/>
              </w:rPr>
              <w:t>Không</w:t>
            </w:r>
          </w:p>
          <w:p w14:paraId="37D2C15A" w14:textId="19C007F3" w:rsidR="00BF4195" w:rsidRPr="0098647E" w:rsidRDefault="00976B18" w:rsidP="00902398">
            <w:pPr>
              <w:spacing w:after="160" w:line="360" w:lineRule="auto"/>
              <w:jc w:val="both"/>
              <w:rPr>
                <w:rFonts w:ascii="Times New Roman" w:hAnsi="Times New Roman" w:cs="Times New Roman"/>
                <w:b w:val="0"/>
                <w:bCs w:val="0"/>
                <w:sz w:val="24"/>
                <w:szCs w:val="24"/>
                <w:lang w:val="en-US"/>
              </w:rPr>
            </w:pPr>
            <w:r w:rsidRPr="0098647E">
              <w:rPr>
                <w:rFonts w:ascii="Times New Roman" w:hAnsi="Times New Roman" w:cs="Times New Roman"/>
                <w:b w:val="0"/>
                <w:bCs w:val="0"/>
                <w:sz w:val="24"/>
                <w:szCs w:val="24"/>
                <w:lang w:val="en-US"/>
              </w:rPr>
              <w:t>Có</w:t>
            </w:r>
          </w:p>
        </w:tc>
        <w:tc>
          <w:tcPr>
            <w:tcW w:w="3069" w:type="dxa"/>
            <w:hideMark/>
          </w:tcPr>
          <w:p w14:paraId="2B506573" w14:textId="77777777" w:rsidR="00BF4195" w:rsidRPr="0098647E" w:rsidRDefault="00BF4195" w:rsidP="0090239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647E">
              <w:rPr>
                <w:rFonts w:ascii="Times New Roman" w:hAnsi="Times New Roman" w:cs="Times New Roman"/>
                <w:sz w:val="24"/>
                <w:szCs w:val="24"/>
              </w:rPr>
              <w:t> </w:t>
            </w:r>
          </w:p>
          <w:p w14:paraId="4650B8C1" w14:textId="290F7F3F" w:rsidR="00BF4195" w:rsidRPr="0098647E" w:rsidRDefault="00BF4195" w:rsidP="0090239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647E">
              <w:rPr>
                <w:rFonts w:ascii="Times New Roman" w:hAnsi="Times New Roman" w:cs="Times New Roman"/>
                <w:sz w:val="24"/>
                <w:szCs w:val="24"/>
              </w:rPr>
              <w:t>91 (96</w:t>
            </w:r>
            <w:r w:rsidR="0098647E">
              <w:rPr>
                <w:rFonts w:ascii="Times New Roman" w:hAnsi="Times New Roman" w:cs="Times New Roman"/>
                <w:sz w:val="24"/>
                <w:szCs w:val="24"/>
              </w:rPr>
              <w:t>,</w:t>
            </w:r>
            <w:r w:rsidRPr="0098647E">
              <w:rPr>
                <w:rFonts w:ascii="Times New Roman" w:hAnsi="Times New Roman" w:cs="Times New Roman"/>
                <w:sz w:val="24"/>
                <w:szCs w:val="24"/>
              </w:rPr>
              <w:t>8)</w:t>
            </w:r>
          </w:p>
          <w:p w14:paraId="21CCA4FF" w14:textId="2B0F6516" w:rsidR="00BF4195" w:rsidRPr="0098647E" w:rsidRDefault="00BF4195" w:rsidP="0090239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647E">
              <w:rPr>
                <w:rFonts w:ascii="Times New Roman" w:hAnsi="Times New Roman" w:cs="Times New Roman"/>
                <w:sz w:val="24"/>
                <w:szCs w:val="24"/>
              </w:rPr>
              <w:t>3 (3</w:t>
            </w:r>
            <w:r w:rsidR="0098647E">
              <w:rPr>
                <w:rFonts w:ascii="Times New Roman" w:hAnsi="Times New Roman" w:cs="Times New Roman"/>
                <w:sz w:val="24"/>
                <w:szCs w:val="24"/>
              </w:rPr>
              <w:t>,</w:t>
            </w:r>
            <w:r w:rsidRPr="0098647E">
              <w:rPr>
                <w:rFonts w:ascii="Times New Roman" w:hAnsi="Times New Roman" w:cs="Times New Roman"/>
                <w:sz w:val="24"/>
                <w:szCs w:val="24"/>
              </w:rPr>
              <w:t>2)</w:t>
            </w:r>
          </w:p>
        </w:tc>
        <w:tc>
          <w:tcPr>
            <w:tcW w:w="2969" w:type="dxa"/>
            <w:hideMark/>
          </w:tcPr>
          <w:p w14:paraId="42E29F28" w14:textId="77777777" w:rsidR="00BF4195" w:rsidRPr="0098647E" w:rsidRDefault="00BF4195" w:rsidP="0090239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647E">
              <w:rPr>
                <w:rFonts w:ascii="Times New Roman" w:hAnsi="Times New Roman" w:cs="Times New Roman"/>
                <w:sz w:val="24"/>
                <w:szCs w:val="24"/>
              </w:rPr>
              <w:t> </w:t>
            </w:r>
          </w:p>
          <w:p w14:paraId="0B00972E" w14:textId="5C6923F9" w:rsidR="00BF4195" w:rsidRPr="0098647E" w:rsidRDefault="00BF4195" w:rsidP="0090239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647E">
              <w:rPr>
                <w:rFonts w:ascii="Times New Roman" w:hAnsi="Times New Roman" w:cs="Times New Roman"/>
                <w:sz w:val="24"/>
                <w:szCs w:val="24"/>
              </w:rPr>
              <w:t>28 (87</w:t>
            </w:r>
            <w:r w:rsidR="0098647E">
              <w:rPr>
                <w:rFonts w:ascii="Times New Roman" w:hAnsi="Times New Roman" w:cs="Times New Roman"/>
                <w:sz w:val="24"/>
                <w:szCs w:val="24"/>
              </w:rPr>
              <w:t>,</w:t>
            </w:r>
            <w:r w:rsidRPr="0098647E">
              <w:rPr>
                <w:rFonts w:ascii="Times New Roman" w:hAnsi="Times New Roman" w:cs="Times New Roman"/>
                <w:sz w:val="24"/>
                <w:szCs w:val="24"/>
              </w:rPr>
              <w:t>5)</w:t>
            </w:r>
          </w:p>
          <w:p w14:paraId="30B4646D" w14:textId="3B3E37C5" w:rsidR="00BF4195" w:rsidRPr="0098647E" w:rsidRDefault="00BF4195" w:rsidP="0090239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647E">
              <w:rPr>
                <w:rFonts w:ascii="Times New Roman" w:hAnsi="Times New Roman" w:cs="Times New Roman"/>
                <w:sz w:val="24"/>
                <w:szCs w:val="24"/>
              </w:rPr>
              <w:t>4 (12</w:t>
            </w:r>
            <w:r w:rsidR="0098647E">
              <w:rPr>
                <w:rFonts w:ascii="Times New Roman" w:hAnsi="Times New Roman" w:cs="Times New Roman"/>
                <w:sz w:val="24"/>
                <w:szCs w:val="24"/>
              </w:rPr>
              <w:t>,</w:t>
            </w:r>
            <w:r w:rsidRPr="0098647E">
              <w:rPr>
                <w:rFonts w:ascii="Times New Roman" w:hAnsi="Times New Roman" w:cs="Times New Roman"/>
                <w:sz w:val="24"/>
                <w:szCs w:val="24"/>
              </w:rPr>
              <w:t>5)</w:t>
            </w:r>
          </w:p>
        </w:tc>
        <w:tc>
          <w:tcPr>
            <w:tcW w:w="3263" w:type="dxa"/>
            <w:hideMark/>
          </w:tcPr>
          <w:p w14:paraId="137D8397" w14:textId="77777777" w:rsidR="00BF4195" w:rsidRPr="0098647E" w:rsidRDefault="00BF4195" w:rsidP="0090239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647E">
              <w:rPr>
                <w:rFonts w:ascii="Times New Roman" w:hAnsi="Times New Roman" w:cs="Times New Roman"/>
                <w:sz w:val="24"/>
                <w:szCs w:val="24"/>
                <w:lang w:val="vi-VN"/>
              </w:rPr>
              <w:t> </w:t>
            </w:r>
          </w:p>
          <w:p w14:paraId="512DF11A" w14:textId="3EDE3BA7" w:rsidR="00BF4195" w:rsidRPr="0098647E" w:rsidRDefault="00BF4195" w:rsidP="0090239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647E">
              <w:rPr>
                <w:rFonts w:ascii="Times New Roman" w:hAnsi="Times New Roman" w:cs="Times New Roman"/>
                <w:sz w:val="24"/>
                <w:szCs w:val="24"/>
              </w:rPr>
              <w:t> 0</w:t>
            </w:r>
            <w:r w:rsidR="0098647E">
              <w:rPr>
                <w:rFonts w:ascii="Times New Roman" w:hAnsi="Times New Roman" w:cs="Times New Roman"/>
                <w:sz w:val="24"/>
                <w:szCs w:val="24"/>
              </w:rPr>
              <w:t>,</w:t>
            </w:r>
            <w:r w:rsidRPr="0098647E">
              <w:rPr>
                <w:rFonts w:ascii="Times New Roman" w:hAnsi="Times New Roman" w:cs="Times New Roman"/>
                <w:sz w:val="24"/>
                <w:szCs w:val="24"/>
              </w:rPr>
              <w:t>06</w:t>
            </w:r>
          </w:p>
        </w:tc>
      </w:tr>
      <w:tr w:rsidR="0098647E" w:rsidRPr="0098647E" w14:paraId="5E00D9D6" w14:textId="77777777" w:rsidTr="00BF4195">
        <w:trPr>
          <w:cnfStyle w:val="000000100000" w:firstRow="0" w:lastRow="0" w:firstColumn="0" w:lastColumn="0" w:oddVBand="0" w:evenVBand="0" w:oddHBand="1" w:evenHBand="0" w:firstRowFirstColumn="0" w:firstRowLastColumn="0" w:lastRowFirstColumn="0" w:lastRowLastColumn="0"/>
          <w:trHeight w:val="1301"/>
        </w:trPr>
        <w:tc>
          <w:tcPr>
            <w:cnfStyle w:val="001000000000" w:firstRow="0" w:lastRow="0" w:firstColumn="1" w:lastColumn="0" w:oddVBand="0" w:evenVBand="0" w:oddHBand="0" w:evenHBand="0" w:firstRowFirstColumn="0" w:firstRowLastColumn="0" w:lastRowFirstColumn="0" w:lastRowLastColumn="0"/>
            <w:tcW w:w="1950" w:type="dxa"/>
            <w:hideMark/>
          </w:tcPr>
          <w:p w14:paraId="6238ED31" w14:textId="091CEC30" w:rsidR="00BF4195" w:rsidRPr="0098647E" w:rsidRDefault="00BF4195" w:rsidP="00902398">
            <w:pPr>
              <w:spacing w:after="160" w:line="360" w:lineRule="auto"/>
              <w:jc w:val="both"/>
              <w:rPr>
                <w:rFonts w:ascii="Times New Roman" w:hAnsi="Times New Roman" w:cs="Times New Roman"/>
                <w:b w:val="0"/>
                <w:bCs w:val="0"/>
                <w:sz w:val="24"/>
                <w:szCs w:val="24"/>
              </w:rPr>
            </w:pPr>
            <w:r w:rsidRPr="0098647E">
              <w:rPr>
                <w:rFonts w:ascii="Times New Roman" w:hAnsi="Times New Roman" w:cs="Times New Roman"/>
                <w:b w:val="0"/>
                <w:bCs w:val="0"/>
                <w:sz w:val="24"/>
                <w:szCs w:val="24"/>
              </w:rPr>
              <w:lastRenderedPageBreak/>
              <w:t>TILs , No</w:t>
            </w:r>
            <w:r w:rsidR="0098647E">
              <w:rPr>
                <w:rFonts w:ascii="Times New Roman" w:hAnsi="Times New Roman" w:cs="Times New Roman"/>
                <w:b w:val="0"/>
                <w:bCs w:val="0"/>
                <w:sz w:val="24"/>
                <w:szCs w:val="24"/>
              </w:rPr>
              <w:t>,</w:t>
            </w:r>
            <w:r w:rsidRPr="0098647E">
              <w:rPr>
                <w:rFonts w:ascii="Times New Roman" w:hAnsi="Times New Roman" w:cs="Times New Roman"/>
                <w:b w:val="0"/>
                <w:bCs w:val="0"/>
                <w:sz w:val="24"/>
                <w:szCs w:val="24"/>
              </w:rPr>
              <w:t xml:space="preserve"> (%)</w:t>
            </w:r>
          </w:p>
          <w:p w14:paraId="3CF05BE0" w14:textId="5473D8B2" w:rsidR="00BF4195" w:rsidRPr="0098647E" w:rsidRDefault="00976B18" w:rsidP="00902398">
            <w:pPr>
              <w:spacing w:after="160" w:line="360" w:lineRule="auto"/>
              <w:jc w:val="both"/>
              <w:rPr>
                <w:rFonts w:ascii="Times New Roman" w:hAnsi="Times New Roman" w:cs="Times New Roman"/>
                <w:b w:val="0"/>
                <w:bCs w:val="0"/>
                <w:sz w:val="24"/>
                <w:szCs w:val="24"/>
                <w:lang w:val="en-US"/>
              </w:rPr>
            </w:pPr>
            <w:r w:rsidRPr="0098647E">
              <w:rPr>
                <w:rFonts w:ascii="Times New Roman" w:hAnsi="Times New Roman" w:cs="Times New Roman"/>
                <w:b w:val="0"/>
                <w:bCs w:val="0"/>
                <w:sz w:val="24"/>
                <w:szCs w:val="24"/>
                <w:lang w:val="en-US"/>
              </w:rPr>
              <w:t>Thấp</w:t>
            </w:r>
          </w:p>
          <w:p w14:paraId="6C016981" w14:textId="40863B2F" w:rsidR="00BF4195" w:rsidRPr="0098647E" w:rsidRDefault="00976B18" w:rsidP="00902398">
            <w:pPr>
              <w:spacing w:after="160" w:line="360" w:lineRule="auto"/>
              <w:jc w:val="both"/>
              <w:rPr>
                <w:rFonts w:ascii="Times New Roman" w:hAnsi="Times New Roman" w:cs="Times New Roman"/>
                <w:b w:val="0"/>
                <w:bCs w:val="0"/>
                <w:sz w:val="24"/>
                <w:szCs w:val="24"/>
                <w:lang w:val="en-US"/>
              </w:rPr>
            </w:pPr>
            <w:r w:rsidRPr="0098647E">
              <w:rPr>
                <w:rFonts w:ascii="Times New Roman" w:hAnsi="Times New Roman" w:cs="Times New Roman"/>
                <w:b w:val="0"/>
                <w:bCs w:val="0"/>
                <w:sz w:val="24"/>
                <w:szCs w:val="24"/>
                <w:lang w:val="en-US"/>
              </w:rPr>
              <w:t>Cao</w:t>
            </w:r>
          </w:p>
        </w:tc>
        <w:tc>
          <w:tcPr>
            <w:tcW w:w="3069" w:type="dxa"/>
            <w:hideMark/>
          </w:tcPr>
          <w:p w14:paraId="0D395E7F" w14:textId="77777777" w:rsidR="00BF4195" w:rsidRPr="0098647E" w:rsidRDefault="00BF4195" w:rsidP="0090239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8647E">
              <w:rPr>
                <w:rFonts w:ascii="Times New Roman" w:hAnsi="Times New Roman" w:cs="Times New Roman"/>
                <w:sz w:val="24"/>
                <w:szCs w:val="24"/>
                <w:lang w:val="vi-VN"/>
              </w:rPr>
              <w:t> </w:t>
            </w:r>
          </w:p>
          <w:p w14:paraId="6CEADF83" w14:textId="7C5275BE" w:rsidR="00BF4195" w:rsidRPr="0098647E" w:rsidRDefault="00BF4195" w:rsidP="0090239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8647E">
              <w:rPr>
                <w:rFonts w:ascii="Times New Roman" w:hAnsi="Times New Roman" w:cs="Times New Roman"/>
                <w:sz w:val="24"/>
                <w:szCs w:val="24"/>
              </w:rPr>
              <w:t>46 (48</w:t>
            </w:r>
            <w:r w:rsidR="0098647E">
              <w:rPr>
                <w:rFonts w:ascii="Times New Roman" w:hAnsi="Times New Roman" w:cs="Times New Roman"/>
                <w:sz w:val="24"/>
                <w:szCs w:val="24"/>
              </w:rPr>
              <w:t>,</w:t>
            </w:r>
            <w:r w:rsidRPr="0098647E">
              <w:rPr>
                <w:rFonts w:ascii="Times New Roman" w:hAnsi="Times New Roman" w:cs="Times New Roman"/>
                <w:sz w:val="24"/>
                <w:szCs w:val="24"/>
              </w:rPr>
              <w:t>9)</w:t>
            </w:r>
          </w:p>
          <w:p w14:paraId="098D9955" w14:textId="6AA58485" w:rsidR="00BF4195" w:rsidRPr="0098647E" w:rsidRDefault="00BF4195" w:rsidP="0090239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8647E">
              <w:rPr>
                <w:rFonts w:ascii="Times New Roman" w:hAnsi="Times New Roman" w:cs="Times New Roman"/>
                <w:sz w:val="24"/>
                <w:szCs w:val="24"/>
              </w:rPr>
              <w:t>48 (51</w:t>
            </w:r>
            <w:r w:rsidR="0098647E">
              <w:rPr>
                <w:rFonts w:ascii="Times New Roman" w:hAnsi="Times New Roman" w:cs="Times New Roman"/>
                <w:sz w:val="24"/>
                <w:szCs w:val="24"/>
              </w:rPr>
              <w:t>,</w:t>
            </w:r>
            <w:r w:rsidRPr="0098647E">
              <w:rPr>
                <w:rFonts w:ascii="Times New Roman" w:hAnsi="Times New Roman" w:cs="Times New Roman"/>
                <w:sz w:val="24"/>
                <w:szCs w:val="24"/>
              </w:rPr>
              <w:t>1)</w:t>
            </w:r>
          </w:p>
        </w:tc>
        <w:tc>
          <w:tcPr>
            <w:tcW w:w="2969" w:type="dxa"/>
            <w:hideMark/>
          </w:tcPr>
          <w:p w14:paraId="1840055B" w14:textId="77777777" w:rsidR="00BF4195" w:rsidRPr="0098647E" w:rsidRDefault="00BF4195" w:rsidP="0090239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8647E">
              <w:rPr>
                <w:rFonts w:ascii="Times New Roman" w:hAnsi="Times New Roman" w:cs="Times New Roman"/>
                <w:sz w:val="24"/>
                <w:szCs w:val="24"/>
                <w:lang w:val="vi-VN"/>
              </w:rPr>
              <w:t> </w:t>
            </w:r>
          </w:p>
          <w:p w14:paraId="6B1A45BA" w14:textId="41BA692D" w:rsidR="00BF4195" w:rsidRPr="0098647E" w:rsidRDefault="00BF4195" w:rsidP="0090239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8647E">
              <w:rPr>
                <w:rFonts w:ascii="Times New Roman" w:hAnsi="Times New Roman" w:cs="Times New Roman"/>
                <w:sz w:val="24"/>
                <w:szCs w:val="24"/>
              </w:rPr>
              <w:t>26 (81</w:t>
            </w:r>
            <w:r w:rsidR="0098647E">
              <w:rPr>
                <w:rFonts w:ascii="Times New Roman" w:hAnsi="Times New Roman" w:cs="Times New Roman"/>
                <w:sz w:val="24"/>
                <w:szCs w:val="24"/>
              </w:rPr>
              <w:t>,</w:t>
            </w:r>
            <w:r w:rsidRPr="0098647E">
              <w:rPr>
                <w:rFonts w:ascii="Times New Roman" w:hAnsi="Times New Roman" w:cs="Times New Roman"/>
                <w:sz w:val="24"/>
                <w:szCs w:val="24"/>
              </w:rPr>
              <w:t>3)</w:t>
            </w:r>
          </w:p>
          <w:p w14:paraId="69F1F052" w14:textId="6ABDB674" w:rsidR="00BF4195" w:rsidRPr="0098647E" w:rsidRDefault="00BF4195" w:rsidP="0090239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8647E">
              <w:rPr>
                <w:rFonts w:ascii="Times New Roman" w:hAnsi="Times New Roman" w:cs="Times New Roman"/>
                <w:sz w:val="24"/>
                <w:szCs w:val="24"/>
              </w:rPr>
              <w:t>6 (18</w:t>
            </w:r>
            <w:r w:rsidR="0098647E">
              <w:rPr>
                <w:rFonts w:ascii="Times New Roman" w:hAnsi="Times New Roman" w:cs="Times New Roman"/>
                <w:sz w:val="24"/>
                <w:szCs w:val="24"/>
              </w:rPr>
              <w:t>,</w:t>
            </w:r>
            <w:r w:rsidRPr="0098647E">
              <w:rPr>
                <w:rFonts w:ascii="Times New Roman" w:hAnsi="Times New Roman" w:cs="Times New Roman"/>
                <w:sz w:val="24"/>
                <w:szCs w:val="24"/>
              </w:rPr>
              <w:t>8)</w:t>
            </w:r>
          </w:p>
        </w:tc>
        <w:tc>
          <w:tcPr>
            <w:tcW w:w="3263" w:type="dxa"/>
            <w:hideMark/>
          </w:tcPr>
          <w:p w14:paraId="019D6E75" w14:textId="77777777" w:rsidR="00BF4195" w:rsidRPr="0098647E" w:rsidRDefault="00BF4195" w:rsidP="0090239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8647E">
              <w:rPr>
                <w:rFonts w:ascii="Times New Roman" w:hAnsi="Times New Roman" w:cs="Times New Roman"/>
                <w:sz w:val="24"/>
                <w:szCs w:val="24"/>
                <w:lang w:val="vi-VN"/>
              </w:rPr>
              <w:t> </w:t>
            </w:r>
          </w:p>
          <w:p w14:paraId="0FA32ADD" w14:textId="1D9A5D52" w:rsidR="00BF4195" w:rsidRPr="0098647E" w:rsidRDefault="00BF4195" w:rsidP="0090239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8647E">
              <w:rPr>
                <w:rFonts w:ascii="Times New Roman" w:hAnsi="Times New Roman" w:cs="Times New Roman"/>
                <w:sz w:val="24"/>
                <w:szCs w:val="24"/>
              </w:rPr>
              <w:t>0</w:t>
            </w:r>
            <w:r w:rsidR="0098647E">
              <w:rPr>
                <w:rFonts w:ascii="Times New Roman" w:hAnsi="Times New Roman" w:cs="Times New Roman"/>
                <w:sz w:val="24"/>
                <w:szCs w:val="24"/>
              </w:rPr>
              <w:t>,</w:t>
            </w:r>
            <w:r w:rsidRPr="0098647E">
              <w:rPr>
                <w:rFonts w:ascii="Times New Roman" w:hAnsi="Times New Roman" w:cs="Times New Roman"/>
                <w:sz w:val="24"/>
                <w:szCs w:val="24"/>
              </w:rPr>
              <w:t>005</w:t>
            </w:r>
          </w:p>
          <w:p w14:paraId="01B02826" w14:textId="77777777" w:rsidR="00BF4195" w:rsidRPr="0098647E" w:rsidRDefault="00BF4195" w:rsidP="0090239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8647E">
              <w:rPr>
                <w:rFonts w:ascii="Times New Roman" w:hAnsi="Times New Roman" w:cs="Times New Roman"/>
                <w:sz w:val="24"/>
                <w:szCs w:val="24"/>
              </w:rPr>
              <w:t> </w:t>
            </w:r>
          </w:p>
        </w:tc>
      </w:tr>
    </w:tbl>
    <w:p w14:paraId="0C3FE401" w14:textId="77777777" w:rsidR="005D74AB" w:rsidRPr="0098647E" w:rsidRDefault="005D74AB" w:rsidP="00902398">
      <w:pPr>
        <w:spacing w:after="0" w:line="360" w:lineRule="auto"/>
        <w:jc w:val="both"/>
        <w:rPr>
          <w:rFonts w:ascii="Times New Roman" w:hAnsi="Times New Roman" w:cs="Times New Roman"/>
          <w:i/>
          <w:iCs/>
          <w:sz w:val="24"/>
          <w:szCs w:val="24"/>
        </w:rPr>
      </w:pPr>
    </w:p>
    <w:p w14:paraId="19114E43" w14:textId="06164330" w:rsidR="001C7383" w:rsidRPr="0098647E" w:rsidRDefault="0074592A" w:rsidP="00902398">
      <w:pPr>
        <w:spacing w:after="0" w:line="360" w:lineRule="auto"/>
        <w:jc w:val="both"/>
        <w:rPr>
          <w:rFonts w:ascii="Times New Roman" w:eastAsia="Times New Roman" w:hAnsi="Times New Roman" w:cs="Times New Roman"/>
          <w:kern w:val="0"/>
          <w:sz w:val="24"/>
          <w:szCs w:val="24"/>
          <w14:ligatures w14:val="none"/>
        </w:rPr>
      </w:pPr>
      <w:r w:rsidRPr="0098647E">
        <w:rPr>
          <w:rFonts w:ascii="Times New Roman" w:eastAsia="Times New Roman" w:hAnsi="Times New Roman" w:cs="Times New Roman"/>
          <w:kern w:val="0"/>
          <w:sz w:val="24"/>
          <w:szCs w:val="24"/>
          <w14:ligatures w14:val="none"/>
        </w:rPr>
        <w:t>Nghiên cứu của chúng tôi thực hiện trên 126 bệnh nhân, tuổi trung bình là 54,7±11,4 tuổi</w:t>
      </w:r>
      <w:r w:rsidR="0098647E">
        <w:rPr>
          <w:rFonts w:ascii="Times New Roman" w:eastAsia="Times New Roman" w:hAnsi="Times New Roman" w:cs="Times New Roman"/>
          <w:kern w:val="0"/>
          <w:sz w:val="24"/>
          <w:szCs w:val="24"/>
          <w14:ligatures w14:val="none"/>
        </w:rPr>
        <w:t>.</w:t>
      </w:r>
      <w:r w:rsidR="002E03AD" w:rsidRPr="0098647E">
        <w:rPr>
          <w:rFonts w:ascii="Times New Roman" w:eastAsia="Times New Roman" w:hAnsi="Times New Roman" w:cs="Times New Roman"/>
          <w:kern w:val="0"/>
          <w:sz w:val="24"/>
          <w:szCs w:val="24"/>
          <w14:ligatures w14:val="none"/>
        </w:rPr>
        <w:t xml:space="preserve"> Tuổi trung bình ở nhóm </w:t>
      </w:r>
      <w:r w:rsidR="00077B4C" w:rsidRPr="0098647E">
        <w:rPr>
          <w:rFonts w:ascii="Times New Roman" w:eastAsia="Times New Roman" w:hAnsi="Times New Roman" w:cs="Times New Roman"/>
          <w:kern w:val="0"/>
          <w:sz w:val="24"/>
          <w:szCs w:val="24"/>
          <w14:ligatures w14:val="none"/>
        </w:rPr>
        <w:t>HER2</w:t>
      </w:r>
      <w:r w:rsidR="0036169B" w:rsidRPr="0098647E">
        <w:rPr>
          <w:rFonts w:ascii="Times New Roman" w:eastAsia="Times New Roman" w:hAnsi="Times New Roman" w:cs="Times New Roman"/>
          <w:kern w:val="0"/>
          <w:sz w:val="24"/>
          <w:szCs w:val="24"/>
          <w14:ligatures w14:val="none"/>
        </w:rPr>
        <w:t>-0</w:t>
      </w:r>
      <w:r w:rsidR="002E03AD" w:rsidRPr="0098647E">
        <w:rPr>
          <w:rFonts w:ascii="Times New Roman" w:eastAsia="Times New Roman" w:hAnsi="Times New Roman" w:cs="Times New Roman"/>
          <w:kern w:val="0"/>
          <w:sz w:val="24"/>
          <w:szCs w:val="24"/>
          <w14:ligatures w14:val="none"/>
        </w:rPr>
        <w:t xml:space="preserve"> và </w:t>
      </w:r>
      <w:r w:rsidR="00077B4C" w:rsidRPr="0098647E">
        <w:rPr>
          <w:rFonts w:ascii="Times New Roman" w:eastAsia="Times New Roman" w:hAnsi="Times New Roman" w:cs="Times New Roman"/>
          <w:kern w:val="0"/>
          <w:sz w:val="24"/>
          <w:szCs w:val="24"/>
          <w14:ligatures w14:val="none"/>
        </w:rPr>
        <w:t>HER2</w:t>
      </w:r>
      <w:r w:rsidR="001C012D" w:rsidRPr="0098647E">
        <w:rPr>
          <w:rFonts w:ascii="Times New Roman" w:eastAsia="Times New Roman" w:hAnsi="Times New Roman" w:cs="Times New Roman"/>
          <w:kern w:val="0"/>
          <w:sz w:val="24"/>
          <w:szCs w:val="24"/>
          <w14:ligatures w14:val="none"/>
        </w:rPr>
        <w:t>-</w:t>
      </w:r>
      <w:r w:rsidR="002E03AD" w:rsidRPr="0098647E">
        <w:rPr>
          <w:rFonts w:ascii="Times New Roman" w:eastAsia="Times New Roman" w:hAnsi="Times New Roman" w:cs="Times New Roman"/>
          <w:kern w:val="0"/>
          <w:sz w:val="24"/>
          <w:szCs w:val="24"/>
          <w14:ligatures w14:val="none"/>
        </w:rPr>
        <w:t>thấp lần lượt là 53</w:t>
      </w:r>
      <w:r w:rsidR="000835B4" w:rsidRPr="0098647E">
        <w:rPr>
          <w:rFonts w:ascii="Times New Roman" w:eastAsia="Times New Roman" w:hAnsi="Times New Roman" w:cs="Times New Roman"/>
          <w:kern w:val="0"/>
          <w:sz w:val="24"/>
          <w:szCs w:val="24"/>
          <w14:ligatures w14:val="none"/>
        </w:rPr>
        <w:t>,</w:t>
      </w:r>
      <w:r w:rsidR="002E03AD" w:rsidRPr="0098647E">
        <w:rPr>
          <w:rFonts w:ascii="Times New Roman" w:eastAsia="Times New Roman" w:hAnsi="Times New Roman" w:cs="Times New Roman"/>
          <w:kern w:val="0"/>
          <w:sz w:val="24"/>
          <w:szCs w:val="24"/>
          <w14:ligatures w14:val="none"/>
        </w:rPr>
        <w:t>3±11</w:t>
      </w:r>
      <w:r w:rsidR="000835B4" w:rsidRPr="0098647E">
        <w:rPr>
          <w:rFonts w:ascii="Times New Roman" w:eastAsia="Times New Roman" w:hAnsi="Times New Roman" w:cs="Times New Roman"/>
          <w:kern w:val="0"/>
          <w:sz w:val="24"/>
          <w:szCs w:val="24"/>
          <w14:ligatures w14:val="none"/>
        </w:rPr>
        <w:t>,</w:t>
      </w:r>
      <w:r w:rsidR="002E03AD" w:rsidRPr="0098647E">
        <w:rPr>
          <w:rFonts w:ascii="Times New Roman" w:eastAsia="Times New Roman" w:hAnsi="Times New Roman" w:cs="Times New Roman"/>
          <w:kern w:val="0"/>
          <w:sz w:val="24"/>
          <w:szCs w:val="24"/>
          <w14:ligatures w14:val="none"/>
        </w:rPr>
        <w:t>0</w:t>
      </w:r>
      <w:r w:rsidRPr="0098647E">
        <w:rPr>
          <w:rFonts w:ascii="Times New Roman" w:eastAsia="Times New Roman" w:hAnsi="Times New Roman" w:cs="Times New Roman"/>
          <w:kern w:val="0"/>
          <w:sz w:val="24"/>
          <w:szCs w:val="24"/>
          <w14:ligatures w14:val="none"/>
        </w:rPr>
        <w:t xml:space="preserve"> </w:t>
      </w:r>
      <w:r w:rsidR="00FC5451" w:rsidRPr="0098647E">
        <w:rPr>
          <w:rFonts w:ascii="Times New Roman" w:eastAsia="Times New Roman" w:hAnsi="Times New Roman" w:cs="Times New Roman"/>
          <w:kern w:val="0"/>
          <w:sz w:val="24"/>
          <w:szCs w:val="24"/>
          <w14:ligatures w14:val="none"/>
        </w:rPr>
        <w:t>năm</w:t>
      </w:r>
      <w:r w:rsidR="00C8276C" w:rsidRPr="0098647E">
        <w:rPr>
          <w:rFonts w:ascii="Times New Roman" w:eastAsia="Times New Roman" w:hAnsi="Times New Roman" w:cs="Times New Roman"/>
          <w:kern w:val="0"/>
          <w:sz w:val="24"/>
          <w:szCs w:val="24"/>
          <w14:ligatures w14:val="none"/>
        </w:rPr>
        <w:t xml:space="preserve"> và 58</w:t>
      </w:r>
      <w:r w:rsidR="000835B4" w:rsidRPr="0098647E">
        <w:rPr>
          <w:rFonts w:ascii="Times New Roman" w:eastAsia="Times New Roman" w:hAnsi="Times New Roman" w:cs="Times New Roman"/>
          <w:kern w:val="0"/>
          <w:sz w:val="24"/>
          <w:szCs w:val="24"/>
          <w14:ligatures w14:val="none"/>
        </w:rPr>
        <w:t>,</w:t>
      </w:r>
      <w:r w:rsidR="00C8276C" w:rsidRPr="0098647E">
        <w:rPr>
          <w:rFonts w:ascii="Times New Roman" w:eastAsia="Times New Roman" w:hAnsi="Times New Roman" w:cs="Times New Roman"/>
          <w:kern w:val="0"/>
          <w:sz w:val="24"/>
          <w:szCs w:val="24"/>
          <w14:ligatures w14:val="none"/>
        </w:rPr>
        <w:t>6±10</w:t>
      </w:r>
      <w:r w:rsidR="000835B4" w:rsidRPr="0098647E">
        <w:rPr>
          <w:rFonts w:ascii="Times New Roman" w:eastAsia="Times New Roman" w:hAnsi="Times New Roman" w:cs="Times New Roman"/>
          <w:kern w:val="0"/>
          <w:sz w:val="24"/>
          <w:szCs w:val="24"/>
          <w14:ligatures w14:val="none"/>
        </w:rPr>
        <w:t>,</w:t>
      </w:r>
      <w:r w:rsidR="00C8276C" w:rsidRPr="0098647E">
        <w:rPr>
          <w:rFonts w:ascii="Times New Roman" w:eastAsia="Times New Roman" w:hAnsi="Times New Roman" w:cs="Times New Roman"/>
          <w:kern w:val="0"/>
          <w:sz w:val="24"/>
          <w:szCs w:val="24"/>
          <w14:ligatures w14:val="none"/>
        </w:rPr>
        <w:t>8 năm</w:t>
      </w:r>
      <w:r w:rsidR="002068FF">
        <w:rPr>
          <w:rFonts w:ascii="Times New Roman" w:eastAsia="Times New Roman" w:hAnsi="Times New Roman" w:cs="Times New Roman"/>
          <w:kern w:val="0"/>
          <w:sz w:val="24"/>
          <w:szCs w:val="24"/>
          <w14:ligatures w14:val="none"/>
        </w:rPr>
        <w:t>.</w:t>
      </w:r>
      <w:r w:rsidR="00FC5451" w:rsidRPr="0098647E">
        <w:rPr>
          <w:rFonts w:ascii="Times New Roman" w:eastAsia="Times New Roman" w:hAnsi="Times New Roman" w:cs="Times New Roman"/>
          <w:kern w:val="0"/>
          <w:sz w:val="24"/>
          <w:szCs w:val="24"/>
          <w14:ligatures w14:val="none"/>
        </w:rPr>
        <w:t xml:space="preserve"> </w:t>
      </w:r>
      <w:r w:rsidRPr="0098647E">
        <w:rPr>
          <w:rFonts w:ascii="Times New Roman" w:eastAsia="Times New Roman" w:hAnsi="Times New Roman" w:cs="Times New Roman"/>
          <w:kern w:val="0"/>
          <w:sz w:val="24"/>
          <w:szCs w:val="24"/>
          <w14:ligatures w14:val="none"/>
        </w:rPr>
        <w:t xml:space="preserve">74,6% bệnh nhân có </w:t>
      </w:r>
      <w:r w:rsidR="00077B4C" w:rsidRPr="0098647E">
        <w:rPr>
          <w:rFonts w:ascii="Times New Roman" w:eastAsia="Times New Roman" w:hAnsi="Times New Roman" w:cs="Times New Roman"/>
          <w:kern w:val="0"/>
          <w:sz w:val="24"/>
          <w:szCs w:val="24"/>
          <w14:ligatures w14:val="none"/>
        </w:rPr>
        <w:t>HER2</w:t>
      </w:r>
      <w:r w:rsidR="001C012D" w:rsidRPr="0098647E">
        <w:rPr>
          <w:rFonts w:ascii="Times New Roman" w:eastAsia="Times New Roman" w:hAnsi="Times New Roman" w:cs="Times New Roman"/>
          <w:kern w:val="0"/>
          <w:sz w:val="24"/>
          <w:szCs w:val="24"/>
          <w14:ligatures w14:val="none"/>
        </w:rPr>
        <w:t>-0</w:t>
      </w:r>
      <w:r w:rsidRPr="0098647E">
        <w:rPr>
          <w:rFonts w:ascii="Times New Roman" w:eastAsia="Times New Roman" w:hAnsi="Times New Roman" w:cs="Times New Roman"/>
          <w:kern w:val="0"/>
          <w:sz w:val="24"/>
          <w:szCs w:val="24"/>
          <w14:ligatures w14:val="none"/>
        </w:rPr>
        <w:t xml:space="preserve"> và 25,4% có bộc lộ </w:t>
      </w:r>
      <w:r w:rsidR="00077B4C" w:rsidRPr="0098647E">
        <w:rPr>
          <w:rFonts w:ascii="Times New Roman" w:eastAsia="Times New Roman" w:hAnsi="Times New Roman" w:cs="Times New Roman"/>
          <w:kern w:val="0"/>
          <w:sz w:val="24"/>
          <w:szCs w:val="24"/>
          <w14:ligatures w14:val="none"/>
        </w:rPr>
        <w:t>HER2</w:t>
      </w:r>
      <w:r w:rsidRPr="0098647E">
        <w:rPr>
          <w:rFonts w:ascii="Times New Roman" w:eastAsia="Times New Roman" w:hAnsi="Times New Roman" w:cs="Times New Roman"/>
          <w:kern w:val="0"/>
          <w:sz w:val="24"/>
          <w:szCs w:val="24"/>
          <w14:ligatures w14:val="none"/>
        </w:rPr>
        <w:t>-thấp (</w:t>
      </w:r>
      <w:r w:rsidR="00077B4C" w:rsidRPr="0098647E">
        <w:rPr>
          <w:rFonts w:ascii="Times New Roman" w:eastAsia="Times New Roman" w:hAnsi="Times New Roman" w:cs="Times New Roman"/>
          <w:kern w:val="0"/>
          <w:sz w:val="24"/>
          <w:szCs w:val="24"/>
          <w14:ligatures w14:val="none"/>
        </w:rPr>
        <w:t>HER2</w:t>
      </w:r>
      <w:r w:rsidRPr="0098647E">
        <w:rPr>
          <w:rFonts w:ascii="Times New Roman" w:eastAsia="Times New Roman" w:hAnsi="Times New Roman" w:cs="Times New Roman"/>
          <w:kern w:val="0"/>
          <w:sz w:val="24"/>
          <w:szCs w:val="24"/>
          <w14:ligatures w14:val="none"/>
        </w:rPr>
        <w:t xml:space="preserve"> 1+ trên HMMD hoặc HER 2+ trên HMMD và kết quả Dual-ISH hoặc FISH âm tính)</w:t>
      </w:r>
      <w:r w:rsidR="002068FF">
        <w:rPr>
          <w:rFonts w:ascii="Times New Roman" w:eastAsia="Times New Roman" w:hAnsi="Times New Roman" w:cs="Times New Roman"/>
          <w:kern w:val="0"/>
          <w:sz w:val="24"/>
          <w:szCs w:val="24"/>
          <w14:ligatures w14:val="none"/>
        </w:rPr>
        <w:t>.</w:t>
      </w:r>
      <w:r w:rsidRPr="0098647E">
        <w:rPr>
          <w:rFonts w:ascii="Times New Roman" w:eastAsia="Times New Roman" w:hAnsi="Times New Roman" w:cs="Times New Roman"/>
          <w:kern w:val="0"/>
          <w:sz w:val="24"/>
          <w:szCs w:val="24"/>
          <w14:ligatures w14:val="none"/>
        </w:rPr>
        <w:t xml:space="preserve"> </w:t>
      </w:r>
      <w:r w:rsidR="002522B6" w:rsidRPr="0098647E">
        <w:rPr>
          <w:rFonts w:ascii="Times New Roman" w:eastAsia="Times New Roman" w:hAnsi="Times New Roman" w:cs="Times New Roman"/>
          <w:kern w:val="0"/>
          <w:sz w:val="24"/>
          <w:szCs w:val="24"/>
          <w14:ligatures w14:val="none"/>
        </w:rPr>
        <w:t xml:space="preserve">Các bệnh nhân được chẩn đoán ở giai đoạn T1 ở </w:t>
      </w:r>
      <w:r w:rsidR="00DC235C" w:rsidRPr="0098647E">
        <w:rPr>
          <w:rFonts w:ascii="Times New Roman" w:eastAsia="Times New Roman" w:hAnsi="Times New Roman" w:cs="Times New Roman"/>
          <w:kern w:val="0"/>
          <w:sz w:val="24"/>
          <w:szCs w:val="24"/>
          <w14:ligatures w14:val="none"/>
        </w:rPr>
        <w:t>51</w:t>
      </w:r>
      <w:r w:rsidR="00FA2D38" w:rsidRPr="0098647E">
        <w:rPr>
          <w:rFonts w:ascii="Times New Roman" w:eastAsia="Times New Roman" w:hAnsi="Times New Roman" w:cs="Times New Roman"/>
          <w:kern w:val="0"/>
          <w:sz w:val="24"/>
          <w:szCs w:val="24"/>
          <w14:ligatures w14:val="none"/>
        </w:rPr>
        <w:t>,</w:t>
      </w:r>
      <w:r w:rsidR="00DC235C" w:rsidRPr="0098647E">
        <w:rPr>
          <w:rFonts w:ascii="Times New Roman" w:eastAsia="Times New Roman" w:hAnsi="Times New Roman" w:cs="Times New Roman"/>
          <w:kern w:val="0"/>
          <w:sz w:val="24"/>
          <w:szCs w:val="24"/>
          <w14:ligatures w14:val="none"/>
        </w:rPr>
        <w:t xml:space="preserve">1% ở nhóm </w:t>
      </w:r>
      <w:r w:rsidR="00077B4C" w:rsidRPr="0098647E">
        <w:rPr>
          <w:rFonts w:ascii="Times New Roman" w:eastAsia="Times New Roman" w:hAnsi="Times New Roman" w:cs="Times New Roman"/>
          <w:kern w:val="0"/>
          <w:sz w:val="24"/>
          <w:szCs w:val="24"/>
          <w14:ligatures w14:val="none"/>
        </w:rPr>
        <w:t>HER2</w:t>
      </w:r>
      <w:r w:rsidR="00DC235C" w:rsidRPr="0098647E">
        <w:rPr>
          <w:rFonts w:ascii="Times New Roman" w:eastAsia="Times New Roman" w:hAnsi="Times New Roman" w:cs="Times New Roman"/>
          <w:kern w:val="0"/>
          <w:sz w:val="24"/>
          <w:szCs w:val="24"/>
          <w14:ligatures w14:val="none"/>
        </w:rPr>
        <w:t xml:space="preserve"> âm tính và 40</w:t>
      </w:r>
      <w:r w:rsidR="00FA2D38" w:rsidRPr="0098647E">
        <w:rPr>
          <w:rFonts w:ascii="Times New Roman" w:eastAsia="Times New Roman" w:hAnsi="Times New Roman" w:cs="Times New Roman"/>
          <w:kern w:val="0"/>
          <w:sz w:val="24"/>
          <w:szCs w:val="24"/>
          <w14:ligatures w14:val="none"/>
        </w:rPr>
        <w:t>,</w:t>
      </w:r>
      <w:r w:rsidR="00DC235C" w:rsidRPr="0098647E">
        <w:rPr>
          <w:rFonts w:ascii="Times New Roman" w:eastAsia="Times New Roman" w:hAnsi="Times New Roman" w:cs="Times New Roman"/>
          <w:kern w:val="0"/>
          <w:sz w:val="24"/>
          <w:szCs w:val="24"/>
          <w14:ligatures w14:val="none"/>
        </w:rPr>
        <w:t>6%</w:t>
      </w:r>
      <w:r w:rsidR="00374F1F" w:rsidRPr="0098647E">
        <w:rPr>
          <w:rFonts w:ascii="Times New Roman" w:eastAsia="Times New Roman" w:hAnsi="Times New Roman" w:cs="Times New Roman"/>
          <w:kern w:val="0"/>
          <w:sz w:val="24"/>
          <w:szCs w:val="24"/>
          <w14:ligatures w14:val="none"/>
        </w:rPr>
        <w:t xml:space="preserve"> ở nhóm </w:t>
      </w:r>
      <w:r w:rsidR="00077B4C" w:rsidRPr="0098647E">
        <w:rPr>
          <w:rFonts w:ascii="Times New Roman" w:eastAsia="Times New Roman" w:hAnsi="Times New Roman" w:cs="Times New Roman"/>
          <w:kern w:val="0"/>
          <w:sz w:val="24"/>
          <w:szCs w:val="24"/>
          <w14:ligatures w14:val="none"/>
        </w:rPr>
        <w:t>HER2</w:t>
      </w:r>
      <w:r w:rsidR="00767B68" w:rsidRPr="0098647E">
        <w:rPr>
          <w:rFonts w:ascii="Times New Roman" w:eastAsia="Times New Roman" w:hAnsi="Times New Roman" w:cs="Times New Roman"/>
          <w:kern w:val="0"/>
          <w:sz w:val="24"/>
          <w:szCs w:val="24"/>
          <w14:ligatures w14:val="none"/>
        </w:rPr>
        <w:t>-</w:t>
      </w:r>
      <w:r w:rsidR="00374F1F" w:rsidRPr="0098647E">
        <w:rPr>
          <w:rFonts w:ascii="Times New Roman" w:eastAsia="Times New Roman" w:hAnsi="Times New Roman" w:cs="Times New Roman"/>
          <w:kern w:val="0"/>
          <w:sz w:val="24"/>
          <w:szCs w:val="24"/>
          <w14:ligatures w14:val="none"/>
        </w:rPr>
        <w:t>thấp</w:t>
      </w:r>
      <w:r w:rsidR="0098647E">
        <w:rPr>
          <w:rFonts w:ascii="Times New Roman" w:eastAsia="Times New Roman" w:hAnsi="Times New Roman" w:cs="Times New Roman"/>
          <w:kern w:val="0"/>
          <w:sz w:val="24"/>
          <w:szCs w:val="24"/>
          <w14:ligatures w14:val="none"/>
        </w:rPr>
        <w:t>,</w:t>
      </w:r>
      <w:r w:rsidR="00374F1F" w:rsidRPr="0098647E">
        <w:rPr>
          <w:rFonts w:ascii="Times New Roman" w:eastAsia="Times New Roman" w:hAnsi="Times New Roman" w:cs="Times New Roman"/>
          <w:kern w:val="0"/>
          <w:sz w:val="24"/>
          <w:szCs w:val="24"/>
          <w14:ligatures w14:val="none"/>
        </w:rPr>
        <w:t xml:space="preserve"> Phần lớn các BN ở cả 2 nhóm được chẩn đoán giai đoạn chưa di căn hạch sau mổ</w:t>
      </w:r>
      <w:r w:rsidR="00FA2D38" w:rsidRPr="0098647E">
        <w:rPr>
          <w:rFonts w:ascii="Times New Roman" w:eastAsia="Times New Roman" w:hAnsi="Times New Roman" w:cs="Times New Roman"/>
          <w:kern w:val="0"/>
          <w:sz w:val="24"/>
          <w:szCs w:val="24"/>
          <w14:ligatures w14:val="none"/>
        </w:rPr>
        <w:t>,</w:t>
      </w:r>
      <w:r w:rsidR="00374F1F" w:rsidRPr="0098647E">
        <w:rPr>
          <w:rFonts w:ascii="Times New Roman" w:eastAsia="Times New Roman" w:hAnsi="Times New Roman" w:cs="Times New Roman"/>
          <w:kern w:val="0"/>
          <w:sz w:val="24"/>
          <w:szCs w:val="24"/>
          <w14:ligatures w14:val="none"/>
        </w:rPr>
        <w:t xml:space="preserve"> 71</w:t>
      </w:r>
      <w:r w:rsidR="0011159C" w:rsidRPr="0098647E">
        <w:rPr>
          <w:rFonts w:ascii="Times New Roman" w:eastAsia="Times New Roman" w:hAnsi="Times New Roman" w:cs="Times New Roman"/>
          <w:kern w:val="0"/>
          <w:sz w:val="24"/>
          <w:szCs w:val="24"/>
          <w14:ligatures w14:val="none"/>
        </w:rPr>
        <w:t xml:space="preserve">,3% ở nhóm </w:t>
      </w:r>
      <w:r w:rsidR="00077B4C" w:rsidRPr="0098647E">
        <w:rPr>
          <w:rFonts w:ascii="Times New Roman" w:eastAsia="Times New Roman" w:hAnsi="Times New Roman" w:cs="Times New Roman"/>
          <w:kern w:val="0"/>
          <w:sz w:val="24"/>
          <w:szCs w:val="24"/>
          <w14:ligatures w14:val="none"/>
        </w:rPr>
        <w:t>HER2</w:t>
      </w:r>
      <w:r w:rsidR="00767B68" w:rsidRPr="0098647E">
        <w:rPr>
          <w:rFonts w:ascii="Times New Roman" w:eastAsia="Times New Roman" w:hAnsi="Times New Roman" w:cs="Times New Roman"/>
          <w:kern w:val="0"/>
          <w:sz w:val="24"/>
          <w:szCs w:val="24"/>
          <w14:ligatures w14:val="none"/>
        </w:rPr>
        <w:t>-0</w:t>
      </w:r>
      <w:r w:rsidR="0011159C" w:rsidRPr="0098647E">
        <w:rPr>
          <w:rFonts w:ascii="Times New Roman" w:eastAsia="Times New Roman" w:hAnsi="Times New Roman" w:cs="Times New Roman"/>
          <w:kern w:val="0"/>
          <w:sz w:val="24"/>
          <w:szCs w:val="24"/>
          <w14:ligatures w14:val="none"/>
        </w:rPr>
        <w:t xml:space="preserve"> và 81</w:t>
      </w:r>
      <w:r w:rsidR="00FA2D38" w:rsidRPr="0098647E">
        <w:rPr>
          <w:rFonts w:ascii="Times New Roman" w:eastAsia="Times New Roman" w:hAnsi="Times New Roman" w:cs="Times New Roman"/>
          <w:kern w:val="0"/>
          <w:sz w:val="24"/>
          <w:szCs w:val="24"/>
          <w14:ligatures w14:val="none"/>
        </w:rPr>
        <w:t>,</w:t>
      </w:r>
      <w:r w:rsidR="0011159C" w:rsidRPr="0098647E">
        <w:rPr>
          <w:rFonts w:ascii="Times New Roman" w:eastAsia="Times New Roman" w:hAnsi="Times New Roman" w:cs="Times New Roman"/>
          <w:kern w:val="0"/>
          <w:sz w:val="24"/>
          <w:szCs w:val="24"/>
          <w14:ligatures w14:val="none"/>
        </w:rPr>
        <w:t xml:space="preserve">3% ở nhóm </w:t>
      </w:r>
      <w:r w:rsidR="00077B4C" w:rsidRPr="0098647E">
        <w:rPr>
          <w:rFonts w:ascii="Times New Roman" w:eastAsia="Times New Roman" w:hAnsi="Times New Roman" w:cs="Times New Roman"/>
          <w:kern w:val="0"/>
          <w:sz w:val="24"/>
          <w:szCs w:val="24"/>
          <w14:ligatures w14:val="none"/>
        </w:rPr>
        <w:t>HER2</w:t>
      </w:r>
      <w:r w:rsidR="00767B68" w:rsidRPr="0098647E">
        <w:rPr>
          <w:rFonts w:ascii="Times New Roman" w:eastAsia="Times New Roman" w:hAnsi="Times New Roman" w:cs="Times New Roman"/>
          <w:kern w:val="0"/>
          <w:sz w:val="24"/>
          <w:szCs w:val="24"/>
          <w14:ligatures w14:val="none"/>
        </w:rPr>
        <w:t>-</w:t>
      </w:r>
      <w:r w:rsidR="0011159C" w:rsidRPr="0098647E">
        <w:rPr>
          <w:rFonts w:ascii="Times New Roman" w:eastAsia="Times New Roman" w:hAnsi="Times New Roman" w:cs="Times New Roman"/>
          <w:kern w:val="0"/>
          <w:sz w:val="24"/>
          <w:szCs w:val="24"/>
          <w14:ligatures w14:val="none"/>
        </w:rPr>
        <w:t xml:space="preserve"> thấp</w:t>
      </w:r>
      <w:r w:rsidR="0036656D">
        <w:rPr>
          <w:rFonts w:ascii="Times New Roman" w:eastAsia="Times New Roman" w:hAnsi="Times New Roman" w:cs="Times New Roman"/>
          <w:kern w:val="0"/>
          <w:sz w:val="24"/>
          <w:szCs w:val="24"/>
          <w14:ligatures w14:val="none"/>
        </w:rPr>
        <w:t>.</w:t>
      </w:r>
    </w:p>
    <w:p w14:paraId="7FD7B1B2" w14:textId="56CA74C9" w:rsidR="00E62B5F" w:rsidRPr="0098647E" w:rsidRDefault="003C3ACF" w:rsidP="00902398">
      <w:pPr>
        <w:pStyle w:val="ListParagraph"/>
        <w:numPr>
          <w:ilvl w:val="0"/>
          <w:numId w:val="3"/>
        </w:numPr>
        <w:spacing w:after="0" w:line="360" w:lineRule="auto"/>
        <w:jc w:val="both"/>
        <w:rPr>
          <w:rFonts w:ascii="Times New Roman" w:eastAsia="Times New Roman" w:hAnsi="Times New Roman" w:cs="Times New Roman"/>
          <w:b/>
          <w:bCs/>
          <w:kern w:val="0"/>
          <w:sz w:val="24"/>
          <w:szCs w:val="24"/>
          <w14:ligatures w14:val="none"/>
        </w:rPr>
      </w:pPr>
      <w:r w:rsidRPr="0098647E">
        <w:rPr>
          <w:rFonts w:ascii="Times New Roman" w:eastAsia="Times New Roman" w:hAnsi="Times New Roman" w:cs="Times New Roman"/>
          <w:b/>
          <w:bCs/>
          <w:kern w:val="0"/>
          <w:sz w:val="24"/>
          <w:szCs w:val="24"/>
          <w14:ligatures w14:val="none"/>
        </w:rPr>
        <w:t>Mối liên quan</w:t>
      </w:r>
      <w:r w:rsidR="00D70389" w:rsidRPr="0098647E">
        <w:rPr>
          <w:rFonts w:ascii="Times New Roman" w:eastAsia="Times New Roman" w:hAnsi="Times New Roman" w:cs="Times New Roman"/>
          <w:b/>
          <w:bCs/>
          <w:kern w:val="0"/>
          <w:sz w:val="24"/>
          <w:szCs w:val="24"/>
          <w14:ligatures w14:val="none"/>
        </w:rPr>
        <w:t xml:space="preserve"> giữa </w:t>
      </w:r>
      <w:r w:rsidR="008D7794" w:rsidRPr="0098647E">
        <w:rPr>
          <w:rFonts w:ascii="Times New Roman" w:eastAsia="Times New Roman" w:hAnsi="Times New Roman" w:cs="Times New Roman"/>
          <w:b/>
          <w:bCs/>
          <w:kern w:val="0"/>
          <w:sz w:val="24"/>
          <w:szCs w:val="24"/>
          <w14:ligatures w14:val="none"/>
        </w:rPr>
        <w:t>tình trạng Her2</w:t>
      </w:r>
      <w:r w:rsidRPr="0098647E">
        <w:rPr>
          <w:rFonts w:ascii="Times New Roman" w:eastAsia="Times New Roman" w:hAnsi="Times New Roman" w:cs="Times New Roman"/>
          <w:b/>
          <w:bCs/>
          <w:kern w:val="0"/>
          <w:sz w:val="24"/>
          <w:szCs w:val="24"/>
          <w14:ligatures w14:val="none"/>
        </w:rPr>
        <w:t xml:space="preserve"> đối với các đặc điểm lâm sàng, cận lâm sàng</w:t>
      </w:r>
    </w:p>
    <w:p w14:paraId="55D698EB" w14:textId="67B89E35" w:rsidR="00F93597" w:rsidRPr="0098647E" w:rsidRDefault="00DE22D5" w:rsidP="00902398">
      <w:pPr>
        <w:spacing w:after="0" w:line="360" w:lineRule="auto"/>
        <w:jc w:val="both"/>
        <w:rPr>
          <w:rFonts w:ascii="Times New Roman" w:hAnsi="Times New Roman" w:cs="Times New Roman"/>
          <w:sz w:val="24"/>
          <w:szCs w:val="24"/>
        </w:rPr>
      </w:pPr>
      <w:r w:rsidRPr="0098647E">
        <w:rPr>
          <w:rFonts w:ascii="Times New Roman" w:eastAsia="Times New Roman" w:hAnsi="Times New Roman" w:cs="Times New Roman"/>
          <w:kern w:val="0"/>
          <w:sz w:val="24"/>
          <w:szCs w:val="24"/>
          <w14:ligatures w14:val="none"/>
        </w:rPr>
        <w:t xml:space="preserve">So với các BN </w:t>
      </w:r>
      <w:r w:rsidR="00077B4C" w:rsidRPr="0098647E">
        <w:rPr>
          <w:rFonts w:ascii="Times New Roman" w:eastAsia="Times New Roman" w:hAnsi="Times New Roman" w:cs="Times New Roman"/>
          <w:kern w:val="0"/>
          <w:sz w:val="24"/>
          <w:szCs w:val="24"/>
          <w14:ligatures w14:val="none"/>
        </w:rPr>
        <w:t>HER2</w:t>
      </w:r>
      <w:r w:rsidR="00767B68" w:rsidRPr="0098647E">
        <w:rPr>
          <w:rFonts w:ascii="Times New Roman" w:eastAsia="Times New Roman" w:hAnsi="Times New Roman" w:cs="Times New Roman"/>
          <w:kern w:val="0"/>
          <w:sz w:val="24"/>
          <w:szCs w:val="24"/>
          <w14:ligatures w14:val="none"/>
        </w:rPr>
        <w:t>-0</w:t>
      </w:r>
      <w:r w:rsidRPr="0098647E">
        <w:rPr>
          <w:rFonts w:ascii="Times New Roman" w:eastAsia="Times New Roman" w:hAnsi="Times New Roman" w:cs="Times New Roman"/>
          <w:kern w:val="0"/>
          <w:sz w:val="24"/>
          <w:szCs w:val="24"/>
          <w14:ligatures w14:val="none"/>
        </w:rPr>
        <w:t xml:space="preserve">, các BN có bộc lộ </w:t>
      </w:r>
      <w:r w:rsidR="00077B4C" w:rsidRPr="0098647E">
        <w:rPr>
          <w:rFonts w:ascii="Times New Roman" w:eastAsia="Times New Roman" w:hAnsi="Times New Roman" w:cs="Times New Roman"/>
          <w:kern w:val="0"/>
          <w:sz w:val="24"/>
          <w:szCs w:val="24"/>
          <w14:ligatures w14:val="none"/>
        </w:rPr>
        <w:t>HER2</w:t>
      </w:r>
      <w:r w:rsidR="00767B68" w:rsidRPr="0098647E">
        <w:rPr>
          <w:rFonts w:ascii="Times New Roman" w:eastAsia="Times New Roman" w:hAnsi="Times New Roman" w:cs="Times New Roman"/>
          <w:kern w:val="0"/>
          <w:sz w:val="24"/>
          <w:szCs w:val="24"/>
          <w14:ligatures w14:val="none"/>
        </w:rPr>
        <w:t>-</w:t>
      </w:r>
      <w:r w:rsidRPr="0098647E">
        <w:rPr>
          <w:rFonts w:ascii="Times New Roman" w:eastAsia="Times New Roman" w:hAnsi="Times New Roman" w:cs="Times New Roman"/>
          <w:kern w:val="0"/>
          <w:sz w:val="24"/>
          <w:szCs w:val="24"/>
          <w14:ligatures w14:val="none"/>
        </w:rPr>
        <w:t>thấp có tuổi cao hơn</w:t>
      </w:r>
      <w:r w:rsidR="000835B4" w:rsidRPr="0098647E">
        <w:rPr>
          <w:rFonts w:ascii="Times New Roman" w:eastAsia="Times New Roman" w:hAnsi="Times New Roman" w:cs="Times New Roman"/>
          <w:kern w:val="0"/>
          <w:sz w:val="24"/>
          <w:szCs w:val="24"/>
          <w14:ligatures w14:val="none"/>
        </w:rPr>
        <w:t xml:space="preserve"> 53,3±11,0 năm so với  58,6±10,8 năm</w:t>
      </w:r>
      <w:r w:rsidRPr="0098647E">
        <w:rPr>
          <w:rFonts w:ascii="Times New Roman" w:eastAsia="Times New Roman" w:hAnsi="Times New Roman" w:cs="Times New Roman"/>
          <w:kern w:val="0"/>
          <w:sz w:val="24"/>
          <w:szCs w:val="24"/>
          <w14:ligatures w14:val="none"/>
        </w:rPr>
        <w:t xml:space="preserve"> (p=0,02)</w:t>
      </w:r>
      <w:r w:rsidR="002068FF">
        <w:rPr>
          <w:rFonts w:ascii="Times New Roman" w:eastAsia="Times New Roman" w:hAnsi="Times New Roman" w:cs="Times New Roman"/>
          <w:kern w:val="0"/>
          <w:sz w:val="24"/>
          <w:szCs w:val="24"/>
          <w14:ligatures w14:val="none"/>
        </w:rPr>
        <w:t>.</w:t>
      </w:r>
      <w:r w:rsidR="002F5953" w:rsidRPr="0098647E">
        <w:rPr>
          <w:rFonts w:ascii="Times New Roman" w:eastAsia="Times New Roman" w:hAnsi="Times New Roman" w:cs="Times New Roman"/>
          <w:kern w:val="0"/>
          <w:sz w:val="24"/>
          <w:szCs w:val="24"/>
          <w14:ligatures w14:val="none"/>
        </w:rPr>
        <w:t xml:space="preserve"> BN có </w:t>
      </w:r>
      <w:r w:rsidR="00077B4C" w:rsidRPr="0098647E">
        <w:rPr>
          <w:rFonts w:ascii="Times New Roman" w:eastAsia="Times New Roman" w:hAnsi="Times New Roman" w:cs="Times New Roman"/>
          <w:kern w:val="0"/>
          <w:sz w:val="24"/>
          <w:szCs w:val="24"/>
          <w14:ligatures w14:val="none"/>
        </w:rPr>
        <w:t>HER2</w:t>
      </w:r>
      <w:r w:rsidR="00767B68" w:rsidRPr="0098647E">
        <w:rPr>
          <w:rFonts w:ascii="Times New Roman" w:eastAsia="Times New Roman" w:hAnsi="Times New Roman" w:cs="Times New Roman"/>
          <w:kern w:val="0"/>
          <w:sz w:val="24"/>
          <w:szCs w:val="24"/>
          <w14:ligatures w14:val="none"/>
        </w:rPr>
        <w:t>-0</w:t>
      </w:r>
      <w:r w:rsidR="002F5953" w:rsidRPr="0098647E">
        <w:rPr>
          <w:rFonts w:ascii="Times New Roman" w:eastAsia="Times New Roman" w:hAnsi="Times New Roman" w:cs="Times New Roman"/>
          <w:kern w:val="0"/>
          <w:sz w:val="24"/>
          <w:szCs w:val="24"/>
          <w14:ligatures w14:val="none"/>
        </w:rPr>
        <w:t xml:space="preserve"> có bộc lộ K67 thấp hơn </w:t>
      </w:r>
      <w:r w:rsidR="007762A3" w:rsidRPr="0098647E">
        <w:rPr>
          <w:rFonts w:ascii="Times New Roman" w:eastAsia="Times New Roman" w:hAnsi="Times New Roman" w:cs="Times New Roman"/>
          <w:kern w:val="0"/>
          <w:sz w:val="24"/>
          <w:szCs w:val="24"/>
          <w14:ligatures w14:val="none"/>
        </w:rPr>
        <w:t xml:space="preserve">so với nhóm </w:t>
      </w:r>
      <w:r w:rsidR="00077B4C" w:rsidRPr="0098647E">
        <w:rPr>
          <w:rFonts w:ascii="Times New Roman" w:eastAsia="Times New Roman" w:hAnsi="Times New Roman" w:cs="Times New Roman"/>
          <w:kern w:val="0"/>
          <w:sz w:val="24"/>
          <w:szCs w:val="24"/>
          <w14:ligatures w14:val="none"/>
        </w:rPr>
        <w:t>HER2</w:t>
      </w:r>
      <w:r w:rsidR="00767B68" w:rsidRPr="0098647E">
        <w:rPr>
          <w:rFonts w:ascii="Times New Roman" w:eastAsia="Times New Roman" w:hAnsi="Times New Roman" w:cs="Times New Roman"/>
          <w:kern w:val="0"/>
          <w:sz w:val="24"/>
          <w:szCs w:val="24"/>
          <w14:ligatures w14:val="none"/>
        </w:rPr>
        <w:t>-</w:t>
      </w:r>
      <w:r w:rsidR="007762A3" w:rsidRPr="0098647E">
        <w:rPr>
          <w:rFonts w:ascii="Times New Roman" w:eastAsia="Times New Roman" w:hAnsi="Times New Roman" w:cs="Times New Roman"/>
          <w:kern w:val="0"/>
          <w:sz w:val="24"/>
          <w:szCs w:val="24"/>
          <w14:ligatures w14:val="none"/>
        </w:rPr>
        <w:t>thấp (p-0</w:t>
      </w:r>
      <w:r w:rsidR="0098647E">
        <w:rPr>
          <w:rFonts w:ascii="Times New Roman" w:eastAsia="Times New Roman" w:hAnsi="Times New Roman" w:cs="Times New Roman"/>
          <w:kern w:val="0"/>
          <w:sz w:val="24"/>
          <w:szCs w:val="24"/>
          <w14:ligatures w14:val="none"/>
        </w:rPr>
        <w:t>,</w:t>
      </w:r>
      <w:r w:rsidR="007762A3" w:rsidRPr="0098647E">
        <w:rPr>
          <w:rFonts w:ascii="Times New Roman" w:eastAsia="Times New Roman" w:hAnsi="Times New Roman" w:cs="Times New Roman"/>
          <w:kern w:val="0"/>
          <w:sz w:val="24"/>
          <w:szCs w:val="24"/>
          <w14:ligatures w14:val="none"/>
        </w:rPr>
        <w:t>05)</w:t>
      </w:r>
      <w:r w:rsidR="002068FF">
        <w:rPr>
          <w:rFonts w:ascii="Times New Roman" w:eastAsia="Times New Roman" w:hAnsi="Times New Roman" w:cs="Times New Roman"/>
          <w:kern w:val="0"/>
          <w:sz w:val="24"/>
          <w:szCs w:val="24"/>
          <w14:ligatures w14:val="none"/>
        </w:rPr>
        <w:t>.</w:t>
      </w:r>
      <w:r w:rsidR="007762A3" w:rsidRPr="0098647E">
        <w:rPr>
          <w:rFonts w:ascii="Times New Roman" w:eastAsia="Times New Roman" w:hAnsi="Times New Roman" w:cs="Times New Roman"/>
          <w:kern w:val="0"/>
          <w:sz w:val="24"/>
          <w:szCs w:val="24"/>
          <w14:ligatures w14:val="none"/>
        </w:rPr>
        <w:t xml:space="preserve"> </w:t>
      </w:r>
      <w:r w:rsidR="00853EB0" w:rsidRPr="0098647E">
        <w:rPr>
          <w:rFonts w:ascii="Times New Roman" w:eastAsia="Times New Roman" w:hAnsi="Times New Roman" w:cs="Times New Roman"/>
          <w:kern w:val="0"/>
          <w:sz w:val="24"/>
          <w:szCs w:val="24"/>
          <w14:ligatures w14:val="none"/>
        </w:rPr>
        <w:t>Thêm vào đó, x</w:t>
      </w:r>
      <w:r w:rsidR="007762A3" w:rsidRPr="0098647E">
        <w:rPr>
          <w:rFonts w:ascii="Times New Roman" w:eastAsia="Times New Roman" w:hAnsi="Times New Roman" w:cs="Times New Roman"/>
          <w:kern w:val="0"/>
          <w:sz w:val="24"/>
          <w:szCs w:val="24"/>
          <w14:ligatures w14:val="none"/>
        </w:rPr>
        <w:t>âm nhập lympho mô u</w:t>
      </w:r>
      <w:r w:rsidRPr="0098647E">
        <w:rPr>
          <w:rFonts w:ascii="Times New Roman" w:eastAsia="Times New Roman" w:hAnsi="Times New Roman" w:cs="Times New Roman"/>
          <w:kern w:val="0"/>
          <w:sz w:val="24"/>
          <w:szCs w:val="24"/>
          <w14:ligatures w14:val="none"/>
        </w:rPr>
        <w:t xml:space="preserve"> </w:t>
      </w:r>
      <w:r w:rsidR="00415193" w:rsidRPr="0098647E">
        <w:rPr>
          <w:rFonts w:ascii="Times New Roman" w:eastAsia="Times New Roman" w:hAnsi="Times New Roman" w:cs="Times New Roman"/>
          <w:kern w:val="0"/>
          <w:sz w:val="24"/>
          <w:szCs w:val="24"/>
          <w14:ligatures w14:val="none"/>
        </w:rPr>
        <w:t>(</w:t>
      </w:r>
      <w:r w:rsidRPr="0098647E">
        <w:rPr>
          <w:rFonts w:ascii="Times New Roman" w:eastAsia="Times New Roman" w:hAnsi="Times New Roman" w:cs="Times New Roman"/>
          <w:kern w:val="0"/>
          <w:sz w:val="24"/>
          <w:szCs w:val="24"/>
          <w14:ligatures w14:val="none"/>
        </w:rPr>
        <w:t>TILs</w:t>
      </w:r>
      <w:r w:rsidR="00415193" w:rsidRPr="0098647E">
        <w:rPr>
          <w:rFonts w:ascii="Times New Roman" w:eastAsia="Times New Roman" w:hAnsi="Times New Roman" w:cs="Times New Roman"/>
          <w:kern w:val="0"/>
          <w:sz w:val="24"/>
          <w:szCs w:val="24"/>
          <w14:ligatures w14:val="none"/>
        </w:rPr>
        <w:t xml:space="preserve">) ở nhóm </w:t>
      </w:r>
      <w:r w:rsidR="00077B4C" w:rsidRPr="0098647E">
        <w:rPr>
          <w:rFonts w:ascii="Times New Roman" w:eastAsia="Times New Roman" w:hAnsi="Times New Roman" w:cs="Times New Roman"/>
          <w:kern w:val="0"/>
          <w:sz w:val="24"/>
          <w:szCs w:val="24"/>
          <w14:ligatures w14:val="none"/>
        </w:rPr>
        <w:t>HER2</w:t>
      </w:r>
      <w:r w:rsidR="00767B68" w:rsidRPr="0098647E">
        <w:rPr>
          <w:rFonts w:ascii="Times New Roman" w:eastAsia="Times New Roman" w:hAnsi="Times New Roman" w:cs="Times New Roman"/>
          <w:kern w:val="0"/>
          <w:sz w:val="24"/>
          <w:szCs w:val="24"/>
          <w14:ligatures w14:val="none"/>
        </w:rPr>
        <w:t>-0</w:t>
      </w:r>
      <w:r w:rsidR="00415193" w:rsidRPr="0098647E">
        <w:rPr>
          <w:rFonts w:ascii="Times New Roman" w:eastAsia="Times New Roman" w:hAnsi="Times New Roman" w:cs="Times New Roman"/>
          <w:kern w:val="0"/>
          <w:sz w:val="24"/>
          <w:szCs w:val="24"/>
          <w14:ligatures w14:val="none"/>
        </w:rPr>
        <w:t xml:space="preserve"> cao</w:t>
      </w:r>
      <w:r w:rsidRPr="0098647E">
        <w:rPr>
          <w:rFonts w:ascii="Times New Roman" w:eastAsia="Times New Roman" w:hAnsi="Times New Roman" w:cs="Times New Roman"/>
          <w:kern w:val="0"/>
          <w:sz w:val="24"/>
          <w:szCs w:val="24"/>
          <w14:ligatures w14:val="none"/>
        </w:rPr>
        <w:t xml:space="preserve"> hơn</w:t>
      </w:r>
      <w:r w:rsidR="00415193" w:rsidRPr="0098647E">
        <w:rPr>
          <w:rFonts w:ascii="Times New Roman" w:eastAsia="Times New Roman" w:hAnsi="Times New Roman" w:cs="Times New Roman"/>
          <w:kern w:val="0"/>
          <w:sz w:val="24"/>
          <w:szCs w:val="24"/>
          <w14:ligatures w14:val="none"/>
        </w:rPr>
        <w:t xml:space="preserve"> so với nhóm </w:t>
      </w:r>
      <w:r w:rsidR="00077B4C" w:rsidRPr="0098647E">
        <w:rPr>
          <w:rFonts w:ascii="Times New Roman" w:eastAsia="Times New Roman" w:hAnsi="Times New Roman" w:cs="Times New Roman"/>
          <w:kern w:val="0"/>
          <w:sz w:val="24"/>
          <w:szCs w:val="24"/>
          <w14:ligatures w14:val="none"/>
        </w:rPr>
        <w:t>HER2</w:t>
      </w:r>
      <w:r w:rsidR="00767B68" w:rsidRPr="0098647E">
        <w:rPr>
          <w:rFonts w:ascii="Times New Roman" w:eastAsia="Times New Roman" w:hAnsi="Times New Roman" w:cs="Times New Roman"/>
          <w:kern w:val="0"/>
          <w:sz w:val="24"/>
          <w:szCs w:val="24"/>
          <w14:ligatures w14:val="none"/>
        </w:rPr>
        <w:t>-</w:t>
      </w:r>
      <w:r w:rsidR="00853EB0" w:rsidRPr="0098647E">
        <w:rPr>
          <w:rFonts w:ascii="Times New Roman" w:eastAsia="Times New Roman" w:hAnsi="Times New Roman" w:cs="Times New Roman"/>
          <w:kern w:val="0"/>
          <w:sz w:val="24"/>
          <w:szCs w:val="24"/>
          <w14:ligatures w14:val="none"/>
        </w:rPr>
        <w:t xml:space="preserve"> thấp (p=0,005)</w:t>
      </w:r>
      <w:r w:rsidR="002068FF">
        <w:rPr>
          <w:rFonts w:ascii="Times New Roman" w:eastAsia="Times New Roman" w:hAnsi="Times New Roman" w:cs="Times New Roman"/>
          <w:kern w:val="0"/>
          <w:sz w:val="24"/>
          <w:szCs w:val="24"/>
          <w14:ligatures w14:val="none"/>
        </w:rPr>
        <w:t>.</w:t>
      </w:r>
      <w:r w:rsidR="00853EB0" w:rsidRPr="0098647E">
        <w:rPr>
          <w:rFonts w:ascii="Times New Roman" w:eastAsia="Times New Roman" w:hAnsi="Times New Roman" w:cs="Times New Roman"/>
          <w:kern w:val="0"/>
          <w:sz w:val="24"/>
          <w:szCs w:val="24"/>
          <w14:ligatures w14:val="none"/>
        </w:rPr>
        <w:t xml:space="preserve"> Các sự khác biệt trên có ý nghĩa thống kê với p&lt;0</w:t>
      </w:r>
      <w:r w:rsidR="0098647E">
        <w:rPr>
          <w:rFonts w:ascii="Times New Roman" w:eastAsia="Times New Roman" w:hAnsi="Times New Roman" w:cs="Times New Roman"/>
          <w:kern w:val="0"/>
          <w:sz w:val="24"/>
          <w:szCs w:val="24"/>
          <w14:ligatures w14:val="none"/>
        </w:rPr>
        <w:t>,</w:t>
      </w:r>
      <w:r w:rsidR="00853EB0" w:rsidRPr="0098647E">
        <w:rPr>
          <w:rFonts w:ascii="Times New Roman" w:eastAsia="Times New Roman" w:hAnsi="Times New Roman" w:cs="Times New Roman"/>
          <w:kern w:val="0"/>
          <w:sz w:val="24"/>
          <w:szCs w:val="24"/>
          <w14:ligatures w14:val="none"/>
        </w:rPr>
        <w:t>05</w:t>
      </w:r>
      <w:r w:rsidR="002068FF">
        <w:rPr>
          <w:rFonts w:ascii="Times New Roman" w:eastAsia="Times New Roman" w:hAnsi="Times New Roman" w:cs="Times New Roman"/>
          <w:kern w:val="0"/>
          <w:sz w:val="24"/>
          <w:szCs w:val="24"/>
          <w14:ligatures w14:val="none"/>
        </w:rPr>
        <w:t>.</w:t>
      </w:r>
      <w:r w:rsidR="00887565" w:rsidRPr="0098647E">
        <w:rPr>
          <w:rFonts w:ascii="Times New Roman" w:eastAsia="Times New Roman" w:hAnsi="Times New Roman" w:cs="Times New Roman"/>
          <w:kern w:val="0"/>
          <w:sz w:val="24"/>
          <w:szCs w:val="24"/>
          <w14:ligatures w14:val="none"/>
        </w:rPr>
        <w:t xml:space="preserve"> Ngoài ra, mối liên hệ giữa tình trạng </w:t>
      </w:r>
      <w:r w:rsidR="00077B4C" w:rsidRPr="0098647E">
        <w:rPr>
          <w:rFonts w:ascii="Times New Roman" w:eastAsia="Times New Roman" w:hAnsi="Times New Roman" w:cs="Times New Roman"/>
          <w:kern w:val="0"/>
          <w:sz w:val="24"/>
          <w:szCs w:val="24"/>
          <w14:ligatures w14:val="none"/>
        </w:rPr>
        <w:t>HER2</w:t>
      </w:r>
      <w:r w:rsidR="00887565" w:rsidRPr="0098647E">
        <w:rPr>
          <w:rFonts w:ascii="Times New Roman" w:eastAsia="Times New Roman" w:hAnsi="Times New Roman" w:cs="Times New Roman"/>
          <w:kern w:val="0"/>
          <w:sz w:val="24"/>
          <w:szCs w:val="24"/>
          <w14:ligatures w14:val="none"/>
        </w:rPr>
        <w:t xml:space="preserve"> và các yếu tố khác như</w:t>
      </w:r>
      <w:r w:rsidR="00575495" w:rsidRPr="0098647E">
        <w:rPr>
          <w:rFonts w:ascii="Times New Roman" w:eastAsia="Times New Roman" w:hAnsi="Times New Roman" w:cs="Times New Roman"/>
          <w:kern w:val="0"/>
          <w:sz w:val="24"/>
          <w:szCs w:val="24"/>
          <w14:ligatures w14:val="none"/>
        </w:rPr>
        <w:t xml:space="preserve"> giai đoạn u và hạch, độ mô học, </w:t>
      </w:r>
      <w:r w:rsidR="0008556C" w:rsidRPr="0098647E">
        <w:rPr>
          <w:rFonts w:ascii="Times New Roman" w:eastAsia="Times New Roman" w:hAnsi="Times New Roman" w:cs="Times New Roman"/>
          <w:kern w:val="0"/>
          <w:sz w:val="24"/>
          <w:szCs w:val="24"/>
          <w14:ligatures w14:val="none"/>
        </w:rPr>
        <w:t>xâm nhập lympho mô u khác biệt không có ý nghĩa thống kê với p&gt;0</w:t>
      </w:r>
      <w:r w:rsidR="0098647E">
        <w:rPr>
          <w:rFonts w:ascii="Times New Roman" w:eastAsia="Times New Roman" w:hAnsi="Times New Roman" w:cs="Times New Roman"/>
          <w:kern w:val="0"/>
          <w:sz w:val="24"/>
          <w:szCs w:val="24"/>
          <w14:ligatures w14:val="none"/>
        </w:rPr>
        <w:t>,</w:t>
      </w:r>
      <w:r w:rsidR="0008556C" w:rsidRPr="0098647E">
        <w:rPr>
          <w:rFonts w:ascii="Times New Roman" w:eastAsia="Times New Roman" w:hAnsi="Times New Roman" w:cs="Times New Roman"/>
          <w:kern w:val="0"/>
          <w:sz w:val="24"/>
          <w:szCs w:val="24"/>
          <w14:ligatures w14:val="none"/>
        </w:rPr>
        <w:t>05</w:t>
      </w:r>
      <w:r w:rsidR="0036656D">
        <w:rPr>
          <w:rFonts w:ascii="Times New Roman" w:eastAsia="Times New Roman" w:hAnsi="Times New Roman" w:cs="Times New Roman"/>
          <w:kern w:val="0"/>
          <w:sz w:val="24"/>
          <w:szCs w:val="24"/>
          <w14:ligatures w14:val="none"/>
        </w:rPr>
        <w:t>.</w:t>
      </w:r>
    </w:p>
    <w:p w14:paraId="3CE68049" w14:textId="75E96C5E" w:rsidR="00FD2AD5" w:rsidRPr="0098647E" w:rsidRDefault="00853EB0" w:rsidP="00902398">
      <w:pPr>
        <w:pStyle w:val="ListParagraph"/>
        <w:numPr>
          <w:ilvl w:val="0"/>
          <w:numId w:val="3"/>
        </w:numPr>
        <w:spacing w:after="0" w:line="360" w:lineRule="auto"/>
        <w:jc w:val="both"/>
        <w:rPr>
          <w:rFonts w:ascii="Times New Roman" w:eastAsia="Times New Roman" w:hAnsi="Times New Roman" w:cs="Times New Roman"/>
          <w:b/>
          <w:bCs/>
          <w:kern w:val="0"/>
          <w:sz w:val="24"/>
          <w:szCs w:val="24"/>
          <w14:ligatures w14:val="none"/>
        </w:rPr>
      </w:pPr>
      <w:r w:rsidRPr="0098647E">
        <w:rPr>
          <w:rFonts w:ascii="Times New Roman" w:eastAsia="Times New Roman" w:hAnsi="Times New Roman" w:cs="Times New Roman"/>
          <w:b/>
          <w:bCs/>
          <w:kern w:val="0"/>
          <w:sz w:val="24"/>
          <w:szCs w:val="24"/>
          <w14:ligatures w14:val="none"/>
        </w:rPr>
        <w:t xml:space="preserve">Mối liên quan </w:t>
      </w:r>
      <w:r w:rsidR="00D70389" w:rsidRPr="0098647E">
        <w:rPr>
          <w:rFonts w:ascii="Times New Roman" w:eastAsia="Times New Roman" w:hAnsi="Times New Roman" w:cs="Times New Roman"/>
          <w:b/>
          <w:bCs/>
          <w:kern w:val="0"/>
          <w:sz w:val="24"/>
          <w:szCs w:val="24"/>
          <w14:ligatures w14:val="none"/>
        </w:rPr>
        <w:t xml:space="preserve"> </w:t>
      </w:r>
      <w:r w:rsidR="008D7794" w:rsidRPr="0098647E">
        <w:rPr>
          <w:rFonts w:ascii="Times New Roman" w:eastAsia="Times New Roman" w:hAnsi="Times New Roman" w:cs="Times New Roman"/>
          <w:b/>
          <w:bCs/>
          <w:kern w:val="0"/>
          <w:sz w:val="24"/>
          <w:szCs w:val="24"/>
          <w14:ligatures w14:val="none"/>
        </w:rPr>
        <w:t>tình trạng Her2</w:t>
      </w:r>
      <w:r w:rsidR="00D70389" w:rsidRPr="0098647E">
        <w:rPr>
          <w:rFonts w:ascii="Times New Roman" w:eastAsia="Times New Roman" w:hAnsi="Times New Roman" w:cs="Times New Roman"/>
          <w:b/>
          <w:bCs/>
          <w:kern w:val="0"/>
          <w:sz w:val="24"/>
          <w:szCs w:val="24"/>
          <w14:ligatures w14:val="none"/>
        </w:rPr>
        <w:t xml:space="preserve"> </w:t>
      </w:r>
      <w:r w:rsidRPr="0098647E">
        <w:rPr>
          <w:rFonts w:ascii="Times New Roman" w:eastAsia="Times New Roman" w:hAnsi="Times New Roman" w:cs="Times New Roman"/>
          <w:b/>
          <w:bCs/>
          <w:kern w:val="0"/>
          <w:sz w:val="24"/>
          <w:szCs w:val="24"/>
          <w14:ligatures w14:val="none"/>
        </w:rPr>
        <w:t>với thời gian sống còn toàn bộ</w:t>
      </w:r>
    </w:p>
    <w:p w14:paraId="7D564A8A" w14:textId="1AA0E708" w:rsidR="008B33D7" w:rsidRPr="0098647E" w:rsidRDefault="008B33D7" w:rsidP="00902398">
      <w:pPr>
        <w:spacing w:line="360" w:lineRule="auto"/>
        <w:jc w:val="both"/>
        <w:rPr>
          <w:rFonts w:ascii="Times New Roman" w:hAnsi="Times New Roman" w:cs="Times New Roman"/>
          <w:sz w:val="24"/>
          <w:szCs w:val="24"/>
        </w:rPr>
      </w:pPr>
      <w:r w:rsidRPr="0098647E">
        <w:rPr>
          <w:rFonts w:ascii="Times New Roman" w:hAnsi="Times New Roman" w:cs="Times New Roman"/>
          <w:sz w:val="24"/>
          <w:szCs w:val="24"/>
        </w:rPr>
        <w:t>Thời gian theo dõi trung bình</w:t>
      </w:r>
      <w:r w:rsidR="00853EB0" w:rsidRPr="0098647E">
        <w:rPr>
          <w:rFonts w:ascii="Times New Roman" w:hAnsi="Times New Roman" w:cs="Times New Roman"/>
          <w:sz w:val="24"/>
          <w:szCs w:val="24"/>
        </w:rPr>
        <w:t xml:space="preserve"> trong nghiên cứu của chúng tôi</w:t>
      </w:r>
      <w:r w:rsidRPr="0098647E">
        <w:rPr>
          <w:rFonts w:ascii="Times New Roman" w:hAnsi="Times New Roman" w:cs="Times New Roman"/>
          <w:sz w:val="24"/>
          <w:szCs w:val="24"/>
        </w:rPr>
        <w:t xml:space="preserve"> là 54 tháng</w:t>
      </w:r>
      <w:r w:rsidR="002068FF">
        <w:rPr>
          <w:rFonts w:ascii="Times New Roman" w:hAnsi="Times New Roman" w:cs="Times New Roman"/>
          <w:sz w:val="24"/>
          <w:szCs w:val="24"/>
        </w:rPr>
        <w:t>.</w:t>
      </w:r>
      <w:r w:rsidRPr="0098647E">
        <w:rPr>
          <w:rFonts w:ascii="Times New Roman" w:hAnsi="Times New Roman" w:cs="Times New Roman"/>
          <w:sz w:val="24"/>
          <w:szCs w:val="24"/>
        </w:rPr>
        <w:t xml:space="preserve"> </w:t>
      </w:r>
      <w:r w:rsidR="00E90454" w:rsidRPr="0098647E">
        <w:rPr>
          <w:rFonts w:ascii="Times New Roman" w:hAnsi="Times New Roman" w:cs="Times New Roman"/>
          <w:sz w:val="24"/>
          <w:szCs w:val="24"/>
        </w:rPr>
        <w:t>P</w:t>
      </w:r>
      <w:r w:rsidRPr="0098647E">
        <w:rPr>
          <w:rFonts w:ascii="Times New Roman" w:hAnsi="Times New Roman" w:cs="Times New Roman"/>
          <w:sz w:val="24"/>
          <w:szCs w:val="24"/>
        </w:rPr>
        <w:t xml:space="preserve">hân tích đơn biến cho thấy bệnh nhân với khối u bộc lộ </w:t>
      </w:r>
      <w:r w:rsidR="00077B4C" w:rsidRPr="0098647E">
        <w:rPr>
          <w:rFonts w:ascii="Times New Roman" w:hAnsi="Times New Roman" w:cs="Times New Roman"/>
          <w:sz w:val="24"/>
          <w:szCs w:val="24"/>
        </w:rPr>
        <w:t>HER2</w:t>
      </w:r>
      <w:r w:rsidR="00767B68" w:rsidRPr="0098647E">
        <w:rPr>
          <w:rFonts w:ascii="Times New Roman" w:hAnsi="Times New Roman" w:cs="Times New Roman"/>
          <w:sz w:val="24"/>
          <w:szCs w:val="24"/>
        </w:rPr>
        <w:t>-</w:t>
      </w:r>
      <w:r w:rsidRPr="0098647E">
        <w:rPr>
          <w:rFonts w:ascii="Times New Roman" w:hAnsi="Times New Roman" w:cs="Times New Roman"/>
          <w:sz w:val="24"/>
          <w:szCs w:val="24"/>
        </w:rPr>
        <w:t xml:space="preserve">thấp có tỷ lệ sống thêm toàn bộ 5 năm (OS) thấp hơn so với những bệnh nhân có </w:t>
      </w:r>
      <w:r w:rsidR="00077B4C" w:rsidRPr="0098647E">
        <w:rPr>
          <w:rFonts w:ascii="Times New Roman" w:hAnsi="Times New Roman" w:cs="Times New Roman"/>
          <w:sz w:val="24"/>
          <w:szCs w:val="24"/>
        </w:rPr>
        <w:t>HER2</w:t>
      </w:r>
      <w:r w:rsidR="00767B68" w:rsidRPr="0098647E">
        <w:rPr>
          <w:rFonts w:ascii="Times New Roman" w:hAnsi="Times New Roman" w:cs="Times New Roman"/>
          <w:sz w:val="24"/>
          <w:szCs w:val="24"/>
        </w:rPr>
        <w:t>-0</w:t>
      </w:r>
      <w:r w:rsidRPr="0098647E">
        <w:rPr>
          <w:rFonts w:ascii="Times New Roman" w:hAnsi="Times New Roman" w:cs="Times New Roman"/>
          <w:sz w:val="24"/>
          <w:szCs w:val="24"/>
        </w:rPr>
        <w:t xml:space="preserve"> (83,3% so với 69,6%, p=0,04)</w:t>
      </w:r>
      <w:r w:rsidR="002068FF">
        <w:rPr>
          <w:rFonts w:ascii="Times New Roman" w:hAnsi="Times New Roman" w:cs="Times New Roman"/>
          <w:sz w:val="24"/>
          <w:szCs w:val="24"/>
        </w:rPr>
        <w:t>.</w:t>
      </w:r>
      <w:r w:rsidRPr="0098647E">
        <w:rPr>
          <w:rFonts w:ascii="Times New Roman" w:hAnsi="Times New Roman" w:cs="Times New Roman"/>
          <w:sz w:val="24"/>
          <w:szCs w:val="24"/>
        </w:rPr>
        <w:t xml:space="preserve"> Tuy nhiên, trong phân tích đa biến, biểu hiện </w:t>
      </w:r>
      <w:r w:rsidR="00077B4C" w:rsidRPr="0098647E">
        <w:rPr>
          <w:rFonts w:ascii="Times New Roman" w:hAnsi="Times New Roman" w:cs="Times New Roman"/>
          <w:sz w:val="24"/>
          <w:szCs w:val="24"/>
        </w:rPr>
        <w:t>HER2</w:t>
      </w:r>
      <w:r w:rsidRPr="0098647E">
        <w:rPr>
          <w:rFonts w:ascii="Times New Roman" w:hAnsi="Times New Roman" w:cs="Times New Roman"/>
          <w:sz w:val="24"/>
          <w:szCs w:val="24"/>
        </w:rPr>
        <w:t xml:space="preserve"> không cho thấy mối quan hệ có ý nghĩa thống kê với OS</w:t>
      </w:r>
      <w:r w:rsidR="002068FF">
        <w:rPr>
          <w:rFonts w:ascii="Times New Roman" w:hAnsi="Times New Roman" w:cs="Times New Roman"/>
          <w:sz w:val="24"/>
          <w:szCs w:val="24"/>
        </w:rPr>
        <w:t>.</w:t>
      </w:r>
      <w:r w:rsidRPr="0098647E">
        <w:rPr>
          <w:rFonts w:ascii="Times New Roman" w:hAnsi="Times New Roman" w:cs="Times New Roman"/>
          <w:sz w:val="24"/>
          <w:szCs w:val="24"/>
        </w:rPr>
        <w:t xml:space="preserve"> Thay vào đó, các yếu tố tiên lượng độc lập của OS được xác định là TILs (p=0,02; HR=0,17; 95%CI 0,04-0,77) và tình trạng hạch di căn (p=0,002; HR=3,8; 95%CI 1,6-9,1)</w:t>
      </w:r>
      <w:r w:rsidR="0036656D">
        <w:rPr>
          <w:rFonts w:ascii="Times New Roman" w:hAnsi="Times New Roman" w:cs="Times New Roman"/>
          <w:sz w:val="24"/>
          <w:szCs w:val="24"/>
        </w:rPr>
        <w:t>.</w:t>
      </w:r>
    </w:p>
    <w:p w14:paraId="0BABF09B" w14:textId="62AA6882" w:rsidR="00787388" w:rsidRPr="0098647E" w:rsidRDefault="0098647E" w:rsidP="00902398">
      <w:pPr>
        <w:spacing w:line="360" w:lineRule="auto"/>
        <w:jc w:val="both"/>
        <w:rPr>
          <w:rFonts w:ascii="Times New Roman" w:hAnsi="Times New Roman" w:cs="Times New Roman"/>
          <w:b/>
          <w:bCs/>
          <w:sz w:val="24"/>
          <w:szCs w:val="24"/>
        </w:rPr>
      </w:pPr>
      <w:r w:rsidRPr="0062001A">
        <w:rPr>
          <w:rFonts w:ascii="Times New Roman" w:hAnsi="Times New Roman" w:cs="Times New Roman"/>
          <w:b/>
          <w:bCs/>
          <w:sz w:val="24"/>
          <w:szCs w:val="24"/>
        </w:rPr>
        <w:lastRenderedPageBreak/>
        <w:drawing>
          <wp:inline distT="0" distB="0" distL="0" distR="0" wp14:anchorId="3E782EAD" wp14:editId="23A36875">
            <wp:extent cx="5526157" cy="3701817"/>
            <wp:effectExtent l="0" t="0" r="0" b="0"/>
            <wp:docPr id="506379188" name="Picture 1" descr="A graph of a number of different colored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379188" name="Picture 1" descr="A graph of a number of different colored lines&#10;&#10;Description automatically generated with medium confidence"/>
                    <pic:cNvPicPr/>
                  </pic:nvPicPr>
                  <pic:blipFill>
                    <a:blip r:embed="rId8"/>
                    <a:stretch>
                      <a:fillRect/>
                    </a:stretch>
                  </pic:blipFill>
                  <pic:spPr>
                    <a:xfrm>
                      <a:off x="0" y="0"/>
                      <a:ext cx="5531057" cy="3705099"/>
                    </a:xfrm>
                    <a:prstGeom prst="rect">
                      <a:avLst/>
                    </a:prstGeom>
                  </pic:spPr>
                </pic:pic>
              </a:graphicData>
            </a:graphic>
          </wp:inline>
        </w:drawing>
      </w:r>
    </w:p>
    <w:p w14:paraId="58C78DE5" w14:textId="3F921F2B" w:rsidR="00042221" w:rsidRPr="0098647E" w:rsidRDefault="0008556C" w:rsidP="00902398">
      <w:pPr>
        <w:spacing w:line="360" w:lineRule="auto"/>
        <w:jc w:val="both"/>
        <w:rPr>
          <w:rFonts w:ascii="Times New Roman" w:hAnsi="Times New Roman" w:cs="Times New Roman"/>
          <w:sz w:val="24"/>
          <w:szCs w:val="24"/>
        </w:rPr>
      </w:pPr>
      <w:r w:rsidRPr="0098647E">
        <w:rPr>
          <w:rFonts w:ascii="Times New Roman" w:hAnsi="Times New Roman" w:cs="Times New Roman"/>
          <w:sz w:val="24"/>
          <w:szCs w:val="24"/>
        </w:rPr>
        <w:t>Hình</w:t>
      </w:r>
      <w:r w:rsidR="00320263" w:rsidRPr="0098647E">
        <w:rPr>
          <w:rFonts w:ascii="Times New Roman" w:hAnsi="Times New Roman" w:cs="Times New Roman"/>
          <w:sz w:val="24"/>
          <w:szCs w:val="24"/>
        </w:rPr>
        <w:t xml:space="preserve"> </w:t>
      </w:r>
      <w:r w:rsidRPr="0098647E">
        <w:rPr>
          <w:rFonts w:ascii="Times New Roman" w:hAnsi="Times New Roman" w:cs="Times New Roman"/>
          <w:sz w:val="24"/>
          <w:szCs w:val="24"/>
        </w:rPr>
        <w:t>1</w:t>
      </w:r>
      <w:r w:rsidR="0098647E" w:rsidRPr="0098647E">
        <w:rPr>
          <w:rFonts w:ascii="Times New Roman" w:hAnsi="Times New Roman" w:cs="Times New Roman"/>
          <w:sz w:val="24"/>
          <w:szCs w:val="24"/>
        </w:rPr>
        <w:t>.</w:t>
      </w:r>
      <w:r w:rsidR="00320263" w:rsidRPr="0098647E">
        <w:rPr>
          <w:rFonts w:ascii="Times New Roman" w:hAnsi="Times New Roman" w:cs="Times New Roman"/>
          <w:sz w:val="24"/>
          <w:szCs w:val="24"/>
        </w:rPr>
        <w:t xml:space="preserve"> </w:t>
      </w:r>
      <w:bookmarkStart w:id="4" w:name="_Hlk173472077"/>
      <w:r w:rsidR="008D7794" w:rsidRPr="0098647E">
        <w:rPr>
          <w:rFonts w:ascii="Times New Roman" w:hAnsi="Times New Roman" w:cs="Times New Roman"/>
          <w:sz w:val="24"/>
          <w:szCs w:val="24"/>
        </w:rPr>
        <w:t>Biểu đồ sống thêm liên quan đến tình trạng HER2</w:t>
      </w:r>
      <w:bookmarkEnd w:id="4"/>
      <w:r w:rsidR="0098647E" w:rsidRPr="0098647E">
        <w:rPr>
          <w:rFonts w:ascii="Times New Roman" w:hAnsi="Times New Roman" w:cs="Times New Roman"/>
          <w:sz w:val="24"/>
          <w:szCs w:val="24"/>
        </w:rPr>
        <w:t>.</w:t>
      </w:r>
    </w:p>
    <w:p w14:paraId="6677324B" w14:textId="3C68F9E7" w:rsidR="00AE7BD8" w:rsidRPr="0098647E" w:rsidRDefault="0098647E" w:rsidP="00902398">
      <w:pPr>
        <w:spacing w:line="360" w:lineRule="auto"/>
        <w:jc w:val="both"/>
        <w:rPr>
          <w:rFonts w:ascii="Times New Roman" w:hAnsi="Times New Roman" w:cs="Times New Roman"/>
          <w:b/>
          <w:bCs/>
          <w:sz w:val="24"/>
          <w:szCs w:val="24"/>
        </w:rPr>
      </w:pPr>
      <w:r w:rsidRPr="0062001A">
        <w:rPr>
          <w:rFonts w:ascii="Times New Roman" w:hAnsi="Times New Roman" w:cs="Times New Roman"/>
          <w:b/>
          <w:bCs/>
          <w:sz w:val="24"/>
          <w:szCs w:val="24"/>
        </w:rPr>
        <w:drawing>
          <wp:inline distT="0" distB="0" distL="0" distR="0" wp14:anchorId="2247E2A5" wp14:editId="299BF226">
            <wp:extent cx="5462546" cy="3461947"/>
            <wp:effectExtent l="0" t="0" r="5080" b="5715"/>
            <wp:docPr id="1660978036" name="Picture 1" descr="A graph with a line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978036" name="Picture 1" descr="A graph with a line graph&#10;&#10;Description automatically generated with medium confidence"/>
                    <pic:cNvPicPr/>
                  </pic:nvPicPr>
                  <pic:blipFill>
                    <a:blip r:embed="rId9"/>
                    <a:stretch>
                      <a:fillRect/>
                    </a:stretch>
                  </pic:blipFill>
                  <pic:spPr>
                    <a:xfrm>
                      <a:off x="0" y="0"/>
                      <a:ext cx="5473056" cy="3468608"/>
                    </a:xfrm>
                    <a:prstGeom prst="rect">
                      <a:avLst/>
                    </a:prstGeom>
                  </pic:spPr>
                </pic:pic>
              </a:graphicData>
            </a:graphic>
          </wp:inline>
        </w:drawing>
      </w:r>
    </w:p>
    <w:p w14:paraId="225E2765" w14:textId="1BF67FF9" w:rsidR="008D7794" w:rsidRPr="0098647E" w:rsidRDefault="0008556C" w:rsidP="00902398">
      <w:pPr>
        <w:spacing w:line="360" w:lineRule="auto"/>
        <w:jc w:val="both"/>
        <w:rPr>
          <w:rFonts w:ascii="Times New Roman" w:hAnsi="Times New Roman" w:cs="Times New Roman"/>
          <w:sz w:val="24"/>
          <w:szCs w:val="24"/>
        </w:rPr>
      </w:pPr>
      <w:r w:rsidRPr="0098647E">
        <w:rPr>
          <w:rFonts w:ascii="Times New Roman" w:hAnsi="Times New Roman" w:cs="Times New Roman"/>
          <w:sz w:val="24"/>
          <w:szCs w:val="24"/>
        </w:rPr>
        <w:t>Hình 2</w:t>
      </w:r>
      <w:r w:rsidR="0098647E" w:rsidRPr="0098647E">
        <w:rPr>
          <w:rFonts w:ascii="Times New Roman" w:hAnsi="Times New Roman" w:cs="Times New Roman"/>
          <w:sz w:val="24"/>
          <w:szCs w:val="24"/>
        </w:rPr>
        <w:t>.</w:t>
      </w:r>
      <w:r w:rsidRPr="0098647E">
        <w:rPr>
          <w:rFonts w:ascii="Times New Roman" w:hAnsi="Times New Roman" w:cs="Times New Roman"/>
          <w:sz w:val="24"/>
          <w:szCs w:val="24"/>
        </w:rPr>
        <w:t xml:space="preserve"> </w:t>
      </w:r>
      <w:r w:rsidR="008D7794" w:rsidRPr="0098647E">
        <w:rPr>
          <w:rFonts w:ascii="Times New Roman" w:hAnsi="Times New Roman" w:cs="Times New Roman"/>
          <w:sz w:val="24"/>
          <w:szCs w:val="24"/>
        </w:rPr>
        <w:t xml:space="preserve">Biểu đồ sống thêm liên quan đến </w:t>
      </w:r>
      <w:r w:rsidR="008D7794" w:rsidRPr="0098647E">
        <w:rPr>
          <w:rFonts w:ascii="Times New Roman" w:hAnsi="Times New Roman" w:cs="Times New Roman"/>
          <w:sz w:val="24"/>
          <w:szCs w:val="24"/>
        </w:rPr>
        <w:t>tình trạng xâm nhập lympho mô u</w:t>
      </w:r>
      <w:r w:rsidR="0098647E" w:rsidRPr="0098647E">
        <w:rPr>
          <w:rFonts w:ascii="Times New Roman" w:hAnsi="Times New Roman" w:cs="Times New Roman"/>
          <w:sz w:val="24"/>
          <w:szCs w:val="24"/>
        </w:rPr>
        <w:t>.</w:t>
      </w:r>
    </w:p>
    <w:p w14:paraId="6774DE59" w14:textId="0C11CFD0" w:rsidR="00137C0A" w:rsidRPr="0098647E" w:rsidRDefault="0008556C" w:rsidP="00902398">
      <w:pPr>
        <w:spacing w:line="360" w:lineRule="auto"/>
        <w:jc w:val="both"/>
        <w:rPr>
          <w:rFonts w:ascii="Times New Roman" w:eastAsia="Times New Roman" w:hAnsi="Times New Roman" w:cs="Times New Roman"/>
          <w:b/>
          <w:bCs/>
          <w:kern w:val="0"/>
          <w:sz w:val="24"/>
          <w:szCs w:val="24"/>
          <w14:ligatures w14:val="none"/>
        </w:rPr>
      </w:pPr>
      <w:r w:rsidRPr="0098647E">
        <w:rPr>
          <w:rFonts w:ascii="Times New Roman" w:eastAsia="Times New Roman" w:hAnsi="Times New Roman" w:cs="Times New Roman"/>
          <w:b/>
          <w:bCs/>
          <w:kern w:val="0"/>
          <w:sz w:val="24"/>
          <w:szCs w:val="24"/>
          <w14:ligatures w14:val="none"/>
        </w:rPr>
        <w:lastRenderedPageBreak/>
        <w:t>BÀN LUẬN</w:t>
      </w:r>
    </w:p>
    <w:bookmarkEnd w:id="1"/>
    <w:p w14:paraId="32A5E73C" w14:textId="3371E02D" w:rsidR="001D0514" w:rsidRPr="0098647E" w:rsidRDefault="00BD23D3" w:rsidP="00902398">
      <w:pPr>
        <w:spacing w:after="0" w:line="360" w:lineRule="auto"/>
        <w:jc w:val="both"/>
        <w:rPr>
          <w:rFonts w:ascii="Times New Roman" w:eastAsia="Times New Roman" w:hAnsi="Times New Roman" w:cs="Times New Roman"/>
          <w:kern w:val="0"/>
          <w:sz w:val="24"/>
          <w:szCs w:val="24"/>
          <w14:ligatures w14:val="none"/>
        </w:rPr>
      </w:pPr>
      <w:r w:rsidRPr="0098647E">
        <w:rPr>
          <w:rFonts w:ascii="Times New Roman" w:eastAsia="Times New Roman" w:hAnsi="Times New Roman" w:cs="Times New Roman"/>
          <w:sz w:val="24"/>
          <w:szCs w:val="24"/>
        </w:rPr>
        <w:t>Ung thư vú thể bộ ba âm tính liên quan đến bệnh tiến triển nhanh và tiên lượng xấu so với các phân nhóm khác</w:t>
      </w:r>
      <w:r w:rsidRPr="0098647E">
        <w:rPr>
          <w:rFonts w:ascii="Times New Roman" w:eastAsia="Times New Roman" w:hAnsi="Times New Roman" w:cs="Times New Roman"/>
          <w:sz w:val="24"/>
          <w:szCs w:val="24"/>
        </w:rPr>
        <w:fldChar w:fldCharType="begin"/>
      </w:r>
      <w:r w:rsidR="00C72AB0" w:rsidRPr="0098647E">
        <w:rPr>
          <w:rFonts w:ascii="Times New Roman" w:eastAsia="Times New Roman" w:hAnsi="Times New Roman" w:cs="Times New Roman"/>
          <w:sz w:val="24"/>
          <w:szCs w:val="24"/>
        </w:rPr>
        <w:instrText xml:space="preserve"> ADDIN ZOTERO_ITEM CSL_CITATION {"citationID":"Dzx6Vd5g","properties":{"formattedCitation":"\\super 3\\nosupersub{}","plainCitation":"3","noteIndex":0},"citationItems":[{"id":722,"uris":["http://zotero.org/users/6192396/items/VRKKFLGF"],"itemData":{"id":722,"type":"article-journal","abstract":"Purpose: To compare the clinical features, natural history, and outcomes for women with “triple-negative” breast cancer with women with other types of breast cancer.Experimental Design: We studied a cohort of 1,601 patients with breast cancer, diagnosed between January 1987 and December 1997 at Women's College Hospital in Toronto. Triple-negative breast cancers were defined as those that were estrogen receptor negative, progesterone receptor negative, and HER2neu negative. The prognostic significance of triple-negative breast cancer was explored.Results: The median follow-up time of the 1,601 women was 8.1 years. One hundred and eighty of 1,601 patients (11.2%) had triple-negative breast cancer. Compared with other women with breast cancer, those with triple-negative breast cancer had an increased likelihood of distant recurrence (hazard ratio, 2.6; 95% confidence interval, 2.0-3.5; P &amp;lt; 0.0001) and death (hazard ratio, 3.2; 95% confidence interval, 2.3-4.5; P &amp;lt; 0.001) within 5 years of diagnosis but not thereafter. The pattern of recurrence was also qualitatively different; among the triple-negative group, the risk of distant recurrence peaked at </w:instrText>
      </w:r>
      <w:r w:rsidR="00C72AB0" w:rsidRPr="0098647E">
        <w:rPr>
          <w:rFonts w:ascii="Cambria Math" w:eastAsia="Times New Roman" w:hAnsi="Cambria Math" w:cs="Cambria Math"/>
          <w:sz w:val="24"/>
          <w:szCs w:val="24"/>
        </w:rPr>
        <w:instrText>∼</w:instrText>
      </w:r>
      <w:r w:rsidR="00C72AB0" w:rsidRPr="0098647E">
        <w:rPr>
          <w:rFonts w:ascii="Times New Roman" w:eastAsia="Times New Roman" w:hAnsi="Times New Roman" w:cs="Times New Roman"/>
          <w:sz w:val="24"/>
          <w:szCs w:val="24"/>
        </w:rPr>
        <w:instrText xml:space="preserve">3 years and declined rapidly thereafter. Among the “other” group, the recurrence risk seemed to be constant over the period of follow-up.Conclusions: Triple-negative breast cancers have a more aggressive clinical course than other forms of breast cancer, but the adverse effect is transient.","container-title":"Clinical Cancer Research","DOI":"10.1158/1078-0432.CCR-06-3045","ISSN":"1078-0432","issue":"15","journalAbbreviation":"Clinical Cancer Research","page":"4429-4434","source":"Silverchair","title":"Triple-Negative Breast Cancer: Clinical Features and Patterns of Recurrence","title-short":"Triple-Negative Breast Cancer","volume":"13","author":[{"family":"Dent","given":"Rebecca"},{"family":"Trudeau","given":"Maureen"},{"family":"Pritchard","given":"Kathleen I."},{"family":"Hanna","given":"Wedad M."},{"family":"Kahn","given":"Harriet K."},{"family":"Sawka","given":"Carol A."},{"family":"Lickley","given":"Lavina A."},{"family":"Rawlinson","given":"Ellen"},{"family":"Sun","given":"Ping"},{"family":"Narod","given":"Steven A."}],"issued":{"date-parts":[["2007",8,1]]}}}],"schema":"https://github.com/citation-style-language/schema/raw/master/csl-citation.json"} </w:instrText>
      </w:r>
      <w:r w:rsidRPr="0098647E">
        <w:rPr>
          <w:rFonts w:ascii="Times New Roman" w:eastAsia="Times New Roman" w:hAnsi="Times New Roman" w:cs="Times New Roman"/>
          <w:sz w:val="24"/>
          <w:szCs w:val="24"/>
        </w:rPr>
        <w:fldChar w:fldCharType="separate"/>
      </w:r>
      <w:r w:rsidRPr="0098647E">
        <w:rPr>
          <w:rFonts w:ascii="Times New Roman" w:hAnsi="Times New Roman" w:cs="Times New Roman"/>
          <w:kern w:val="0"/>
          <w:sz w:val="24"/>
          <w:szCs w:val="24"/>
          <w:vertAlign w:val="superscript"/>
        </w:rPr>
        <w:t>3</w:t>
      </w:r>
      <w:r w:rsidRPr="0098647E">
        <w:rPr>
          <w:rFonts w:ascii="Times New Roman" w:eastAsia="Times New Roman" w:hAnsi="Times New Roman" w:cs="Times New Roman"/>
          <w:sz w:val="24"/>
          <w:szCs w:val="24"/>
        </w:rPr>
        <w:fldChar w:fldCharType="end"/>
      </w:r>
      <w:r w:rsidR="0036656D">
        <w:rPr>
          <w:rFonts w:ascii="Times New Roman" w:eastAsia="Times New Roman" w:hAnsi="Times New Roman" w:cs="Times New Roman"/>
          <w:sz w:val="24"/>
          <w:szCs w:val="24"/>
        </w:rPr>
        <w:t>.</w:t>
      </w:r>
      <w:r w:rsidRPr="0098647E">
        <w:rPr>
          <w:rFonts w:ascii="Times New Roman" w:eastAsia="Times New Roman" w:hAnsi="Times New Roman" w:cs="Times New Roman"/>
          <w:sz w:val="24"/>
          <w:szCs w:val="24"/>
        </w:rPr>
        <w:t xml:space="preserve"> Đã có các nghiên cứu cho thấy </w:t>
      </w:r>
      <w:r w:rsidR="00757F5F" w:rsidRPr="0098647E">
        <w:rPr>
          <w:rFonts w:ascii="Times New Roman" w:eastAsia="Times New Roman" w:hAnsi="Times New Roman" w:cs="Times New Roman"/>
          <w:sz w:val="24"/>
          <w:szCs w:val="24"/>
        </w:rPr>
        <w:t xml:space="preserve">tiên </w:t>
      </w:r>
      <w:r w:rsidRPr="0098647E">
        <w:rPr>
          <w:rFonts w:ascii="Times New Roman" w:eastAsia="Times New Roman" w:hAnsi="Times New Roman" w:cs="Times New Roman"/>
          <w:sz w:val="24"/>
          <w:szCs w:val="24"/>
        </w:rPr>
        <w:t xml:space="preserve">lượng khác nhau giữa </w:t>
      </w:r>
      <w:r w:rsidR="00757F5F" w:rsidRPr="0098647E">
        <w:rPr>
          <w:rFonts w:ascii="Times New Roman" w:eastAsia="Times New Roman" w:hAnsi="Times New Roman" w:cs="Times New Roman"/>
          <w:sz w:val="24"/>
          <w:szCs w:val="24"/>
        </w:rPr>
        <w:t>nhóm</w:t>
      </w:r>
      <w:r w:rsidRPr="0098647E">
        <w:rPr>
          <w:rFonts w:ascii="Times New Roman" w:eastAsia="Times New Roman" w:hAnsi="Times New Roman" w:cs="Times New Roman"/>
          <w:sz w:val="24"/>
          <w:szCs w:val="24"/>
        </w:rPr>
        <w:t xml:space="preserve"> </w:t>
      </w:r>
      <w:r w:rsidR="00077B4C" w:rsidRPr="0098647E">
        <w:rPr>
          <w:rFonts w:ascii="Times New Roman" w:eastAsia="Times New Roman" w:hAnsi="Times New Roman" w:cs="Times New Roman"/>
          <w:sz w:val="24"/>
          <w:szCs w:val="24"/>
        </w:rPr>
        <w:t>HER2</w:t>
      </w:r>
      <w:r w:rsidRPr="0098647E">
        <w:rPr>
          <w:rFonts w:ascii="Times New Roman" w:eastAsia="Times New Roman" w:hAnsi="Times New Roman" w:cs="Times New Roman"/>
          <w:sz w:val="24"/>
          <w:szCs w:val="24"/>
        </w:rPr>
        <w:t xml:space="preserve">-thấp và </w:t>
      </w:r>
      <w:r w:rsidR="00077B4C" w:rsidRPr="0098647E">
        <w:rPr>
          <w:rFonts w:ascii="Times New Roman" w:eastAsia="Times New Roman" w:hAnsi="Times New Roman" w:cs="Times New Roman"/>
          <w:sz w:val="24"/>
          <w:szCs w:val="24"/>
        </w:rPr>
        <w:t>HER2</w:t>
      </w:r>
      <w:r w:rsidRPr="0098647E">
        <w:rPr>
          <w:rFonts w:ascii="Times New Roman" w:eastAsia="Times New Roman" w:hAnsi="Times New Roman" w:cs="Times New Roman"/>
          <w:sz w:val="24"/>
          <w:szCs w:val="24"/>
        </w:rPr>
        <w:t>-0</w:t>
      </w:r>
      <w:r w:rsidRPr="0098647E">
        <w:rPr>
          <w:rFonts w:ascii="Times New Roman" w:eastAsia="Times New Roman" w:hAnsi="Times New Roman" w:cs="Times New Roman"/>
          <w:sz w:val="24"/>
          <w:szCs w:val="24"/>
        </w:rPr>
        <w:fldChar w:fldCharType="begin"/>
      </w:r>
      <w:r w:rsidR="00C72AB0" w:rsidRPr="0098647E">
        <w:rPr>
          <w:rFonts w:ascii="Times New Roman" w:eastAsia="Times New Roman" w:hAnsi="Times New Roman" w:cs="Times New Roman"/>
          <w:sz w:val="24"/>
          <w:szCs w:val="24"/>
        </w:rPr>
        <w:instrText xml:space="preserve"> ADDIN ZOTERO_ITEM CSL_CITATION {"citationID":"o1x8ebmF","properties":{"formattedCitation":"\\super 5\\nosupersub{}","plainCitation":"5","noteIndex":0},"citationItems":[{"id":780,"uris":["http://zotero.org/users/6192396/items/4YM8A85L"],"itemData":{"id":780,"type":"article-journal","abstract":"BACKGROUND: Recently, novel antibody--drug conjugates (ADCs) showed clinical activity in a subset of advanced human epidermal growth factor receptor 2 (HER2)-negative patients. We investigated the prognostic significance of HER2-low and HER2-zero tumours.\nPATIENTS AND METHODS: The retrospective cohort study included 410 consecutive node-negative breast cancer patients without adjuvant systemic therapy treated between 1985 and 2000 (median follow-up: 16.73 [IQR 8.58-23.45] years). 351 (85.6%) were HER-2 negative and subdivided into HER2-zero (immunohistochemistry [IHC] score 0) and HER2-low (IHC score 1+ or 2+/in situ hybridisation [ISH]-negative). HER2 gene expression was available in 170 (48.4%) patients. Differences in HER2 status for immunohistochemistry, gene expression and clinico-pathologic parameters were assessed using Fisher's exact test, Pearson's correlation and Mann-Whitney test. Prognosis was investigated using the Kaplan-Meier method and Cox regression analyses.\nRESULTS: Of the 351 HER2-negative patients, 198 (56.4%) had HER2-low tumours and 153 (43.6%) were HER2-zero. Significant differences between HER2-zero and HER2-low tumours were found in histologic grading (P = 0.001), Ki-67 (P = 0.013) and HER2 gene expression (P = 0.002). HER2-low patients had significantly longer disease-free survival (DFS) (15-year rate: 67.5% [95% CI 61.0-74.7] vs. 47.3% [95% CI 39.9-56.1], P &amp;lt; 0.001) and overall survival (OS) (15-year rate: 75.4% [95% CI 69.4-81.9] vs. 66.8% [95% CI 59.5-74.9], P = 0.009). The OS difference was observed in hormone receptor (HR)-positive (P = 0.039) but not HR-negative (P = 0.086) tumours. The results of multivariable analyses confirmed the independent prognostic significance of HER2 status (DFS: HR, 0.546; 95% CI, 0.402-0.743; P &amp;lt; 0.001; OS: HR, 0.653; 95% CI, 0.458-0.932; P = 0.019).\nCONCLUSION: HER2-low patients had a better survival than HER2-zero patients.","container-title":"European Journal of Cancer (Oxford, England: 1990)","DOI":"10.1016/j.ejca.2022.06.012","ISSN":"1879-0852","journalAbbreviation":"Eur J Cancer","language":"eng","note":"PMID: 35839597","page":"10-19","source":"PubMed","title":"Long-term prognostic significance of HER2-low and HER2-zero in node-negative breast cancer","volume":"173","author":[{"family":"Almstedt","given":"Katrin"},{"family":"Heimes","given":"Anne-Sophie"},{"family":"Kappenberg","given":"Franziska"},{"family":"Battista","given":"Marco J."},{"family":"Lehr","given":"Hans-Anton"},{"family":"Krajnak","given":"Slavomir"},{"family":"Lebrecht","given":"Antje"},{"family":"Gehrmann","given":"Mathias"},{"family":"Stewen","given":"Kathrin"},{"family":"Brenner","given":"Walburgis"},{"family":"Weikel","given":"Wolfgang"},{"family":"Rahnenführer","given":"Jörg"},{"family":"Hengstler","given":"Jan G."},{"family":"Hasenburg","given":"Annette"},{"family":"Schmidt","given":"Marcus"}],"issued":{"date-parts":[["2022",9]]}}}],"schema":"https://github.com/citation-style-language/schema/raw/master/csl-citation.json"} </w:instrText>
      </w:r>
      <w:r w:rsidRPr="0098647E">
        <w:rPr>
          <w:rFonts w:ascii="Times New Roman" w:eastAsia="Times New Roman" w:hAnsi="Times New Roman" w:cs="Times New Roman"/>
          <w:sz w:val="24"/>
          <w:szCs w:val="24"/>
        </w:rPr>
        <w:fldChar w:fldCharType="separate"/>
      </w:r>
      <w:r w:rsidRPr="0098647E">
        <w:rPr>
          <w:rFonts w:ascii="Times New Roman" w:hAnsi="Times New Roman" w:cs="Times New Roman"/>
          <w:kern w:val="0"/>
          <w:sz w:val="24"/>
          <w:szCs w:val="24"/>
          <w:vertAlign w:val="superscript"/>
        </w:rPr>
        <w:t>5</w:t>
      </w:r>
      <w:r w:rsidRPr="0098647E">
        <w:rPr>
          <w:rFonts w:ascii="Times New Roman" w:eastAsia="Times New Roman" w:hAnsi="Times New Roman" w:cs="Times New Roman"/>
          <w:sz w:val="24"/>
          <w:szCs w:val="24"/>
        </w:rPr>
        <w:fldChar w:fldCharType="end"/>
      </w:r>
      <w:r w:rsidR="002846E0" w:rsidRPr="0098647E">
        <w:rPr>
          <w:rFonts w:ascii="Times New Roman" w:eastAsia="Times New Roman" w:hAnsi="Times New Roman" w:cs="Times New Roman"/>
          <w:sz w:val="24"/>
          <w:szCs w:val="24"/>
        </w:rPr>
        <w:t xml:space="preserve">, </w:t>
      </w:r>
      <w:r w:rsidR="002846E0" w:rsidRPr="0098647E">
        <w:rPr>
          <w:rFonts w:ascii="Times New Roman" w:eastAsia="Times New Roman" w:hAnsi="Times New Roman" w:cs="Times New Roman"/>
          <w:kern w:val="0"/>
          <w:sz w:val="24"/>
          <w:szCs w:val="24"/>
          <w14:ligatures w14:val="none"/>
        </w:rPr>
        <w:t>d</w:t>
      </w:r>
      <w:r w:rsidR="001D0514" w:rsidRPr="0098647E">
        <w:rPr>
          <w:rFonts w:ascii="Times New Roman" w:eastAsia="Times New Roman" w:hAnsi="Times New Roman" w:cs="Times New Roman"/>
          <w:kern w:val="0"/>
          <w:sz w:val="24"/>
          <w:szCs w:val="24"/>
          <w14:ligatures w14:val="none"/>
        </w:rPr>
        <w:t xml:space="preserve">o đó chúng tôi tập trung vào </w:t>
      </w:r>
      <w:r w:rsidR="002846E0" w:rsidRPr="0098647E">
        <w:rPr>
          <w:rFonts w:ascii="Times New Roman" w:eastAsia="Times New Roman" w:hAnsi="Times New Roman" w:cs="Times New Roman"/>
          <w:kern w:val="0"/>
          <w:sz w:val="24"/>
          <w:szCs w:val="24"/>
          <w14:ligatures w14:val="none"/>
        </w:rPr>
        <w:t xml:space="preserve">nghiên cứu mối liên quan giữa tình trạng </w:t>
      </w:r>
      <w:r w:rsidR="00077B4C" w:rsidRPr="0098647E">
        <w:rPr>
          <w:rFonts w:ascii="Times New Roman" w:eastAsia="Times New Roman" w:hAnsi="Times New Roman" w:cs="Times New Roman"/>
          <w:kern w:val="0"/>
          <w:sz w:val="24"/>
          <w:szCs w:val="24"/>
          <w14:ligatures w14:val="none"/>
        </w:rPr>
        <w:t>HER2</w:t>
      </w:r>
      <w:r w:rsidR="00767B68" w:rsidRPr="0098647E">
        <w:rPr>
          <w:rFonts w:ascii="Times New Roman" w:eastAsia="Times New Roman" w:hAnsi="Times New Roman" w:cs="Times New Roman"/>
          <w:kern w:val="0"/>
          <w:sz w:val="24"/>
          <w:szCs w:val="24"/>
          <w14:ligatures w14:val="none"/>
        </w:rPr>
        <w:t xml:space="preserve"> </w:t>
      </w:r>
      <w:r w:rsidR="002846E0" w:rsidRPr="0098647E">
        <w:rPr>
          <w:rFonts w:ascii="Times New Roman" w:eastAsia="Times New Roman" w:hAnsi="Times New Roman" w:cs="Times New Roman"/>
          <w:kern w:val="0"/>
          <w:sz w:val="24"/>
          <w:szCs w:val="24"/>
          <w14:ligatures w14:val="none"/>
        </w:rPr>
        <w:t>và các đặc điểm lâm sàng, cận lậm lâm sàng và sống thêm ở những bệnh nhân ung thư vú bộ ba âm tính giai đoạn sớm</w:t>
      </w:r>
      <w:r w:rsidR="0036656D">
        <w:rPr>
          <w:rFonts w:ascii="Times New Roman" w:eastAsia="Times New Roman" w:hAnsi="Times New Roman" w:cs="Times New Roman"/>
          <w:kern w:val="0"/>
          <w:sz w:val="24"/>
          <w:szCs w:val="24"/>
          <w14:ligatures w14:val="none"/>
        </w:rPr>
        <w:t>.</w:t>
      </w:r>
      <w:r w:rsidR="001D0514" w:rsidRPr="0098647E">
        <w:rPr>
          <w:rFonts w:ascii="Times New Roman" w:eastAsia="Times New Roman" w:hAnsi="Times New Roman" w:cs="Times New Roman"/>
          <w:kern w:val="0"/>
          <w:sz w:val="24"/>
          <w:szCs w:val="24"/>
          <w14:ligatures w14:val="none"/>
        </w:rPr>
        <w:t xml:space="preserve"> Trong nhóm của chúng tôi, </w:t>
      </w:r>
      <w:r w:rsidR="002A29FF" w:rsidRPr="0098647E">
        <w:rPr>
          <w:rFonts w:ascii="Times New Roman" w:eastAsia="Times New Roman" w:hAnsi="Times New Roman" w:cs="Times New Roman"/>
          <w:kern w:val="0"/>
          <w:sz w:val="24"/>
          <w:szCs w:val="24"/>
          <w14:ligatures w14:val="none"/>
        </w:rPr>
        <w:t xml:space="preserve">25,4% có bộc lộ </w:t>
      </w:r>
      <w:r w:rsidR="00077B4C" w:rsidRPr="0098647E">
        <w:rPr>
          <w:rFonts w:ascii="Times New Roman" w:eastAsia="Times New Roman" w:hAnsi="Times New Roman" w:cs="Times New Roman"/>
          <w:kern w:val="0"/>
          <w:sz w:val="24"/>
          <w:szCs w:val="24"/>
          <w14:ligatures w14:val="none"/>
        </w:rPr>
        <w:t>HER2</w:t>
      </w:r>
      <w:r w:rsidR="002A29FF" w:rsidRPr="0098647E">
        <w:rPr>
          <w:rFonts w:ascii="Times New Roman" w:eastAsia="Times New Roman" w:hAnsi="Times New Roman" w:cs="Times New Roman"/>
          <w:kern w:val="0"/>
          <w:sz w:val="24"/>
          <w:szCs w:val="24"/>
          <w14:ligatures w14:val="none"/>
        </w:rPr>
        <w:t>-thấp (</w:t>
      </w:r>
      <w:r w:rsidR="00077B4C" w:rsidRPr="0098647E">
        <w:rPr>
          <w:rFonts w:ascii="Times New Roman" w:eastAsia="Times New Roman" w:hAnsi="Times New Roman" w:cs="Times New Roman"/>
          <w:kern w:val="0"/>
          <w:sz w:val="24"/>
          <w:szCs w:val="24"/>
          <w14:ligatures w14:val="none"/>
        </w:rPr>
        <w:t>HER2</w:t>
      </w:r>
      <w:r w:rsidR="002A29FF" w:rsidRPr="0098647E">
        <w:rPr>
          <w:rFonts w:ascii="Times New Roman" w:eastAsia="Times New Roman" w:hAnsi="Times New Roman" w:cs="Times New Roman"/>
          <w:kern w:val="0"/>
          <w:sz w:val="24"/>
          <w:szCs w:val="24"/>
          <w14:ligatures w14:val="none"/>
        </w:rPr>
        <w:t xml:space="preserve"> 1+ trên HMMD hoặc HER 2+ trên HMMD và kết quả Dual-ISH hoặc FISH âm tính)</w:t>
      </w:r>
      <w:r w:rsidR="001D0514" w:rsidRPr="0098647E">
        <w:rPr>
          <w:rFonts w:ascii="Times New Roman" w:eastAsia="Times New Roman" w:hAnsi="Times New Roman" w:cs="Times New Roman"/>
          <w:kern w:val="0"/>
          <w:sz w:val="24"/>
          <w:szCs w:val="24"/>
          <w14:ligatures w14:val="none"/>
        </w:rPr>
        <w:t xml:space="preserve">, </w:t>
      </w:r>
      <w:r w:rsidR="002A29FF" w:rsidRPr="0098647E">
        <w:rPr>
          <w:rFonts w:ascii="Times New Roman" w:eastAsia="Times New Roman" w:hAnsi="Times New Roman" w:cs="Times New Roman"/>
          <w:kern w:val="0"/>
          <w:sz w:val="24"/>
          <w:szCs w:val="24"/>
          <w14:ligatures w14:val="none"/>
        </w:rPr>
        <w:t>tỷ lệ này tương tự như nghiên cứu</w:t>
      </w:r>
      <w:r w:rsidR="001D0514" w:rsidRPr="0098647E">
        <w:rPr>
          <w:rFonts w:ascii="Times New Roman" w:eastAsia="Times New Roman" w:hAnsi="Times New Roman" w:cs="Times New Roman"/>
          <w:kern w:val="0"/>
          <w:sz w:val="24"/>
          <w:szCs w:val="24"/>
          <w14:ligatures w14:val="none"/>
        </w:rPr>
        <w:t xml:space="preserve"> </w:t>
      </w:r>
      <w:r w:rsidR="00B60616" w:rsidRPr="0098647E">
        <w:rPr>
          <w:rFonts w:ascii="Times New Roman" w:eastAsia="Times New Roman" w:hAnsi="Times New Roman" w:cs="Times New Roman"/>
          <w:kern w:val="0"/>
          <w:sz w:val="24"/>
          <w:szCs w:val="24"/>
          <w14:ligatures w14:val="none"/>
        </w:rPr>
        <w:t>của Tomomi và cộng sự</w:t>
      </w:r>
      <w:r w:rsidR="00C72AB0" w:rsidRPr="0098647E">
        <w:rPr>
          <w:rFonts w:ascii="Times New Roman" w:eastAsia="Times New Roman" w:hAnsi="Times New Roman" w:cs="Times New Roman"/>
          <w:kern w:val="0"/>
          <w:sz w:val="24"/>
          <w:szCs w:val="24"/>
          <w14:ligatures w14:val="none"/>
        </w:rPr>
        <w:fldChar w:fldCharType="begin"/>
      </w:r>
      <w:r w:rsidR="00C72AB0" w:rsidRPr="0098647E">
        <w:rPr>
          <w:rFonts w:ascii="Times New Roman" w:eastAsia="Times New Roman" w:hAnsi="Times New Roman" w:cs="Times New Roman"/>
          <w:kern w:val="0"/>
          <w:sz w:val="24"/>
          <w:szCs w:val="24"/>
          <w14:ligatures w14:val="none"/>
        </w:rPr>
        <w:instrText xml:space="preserve"> ADDIN ZOTERO_ITEM CSL_CITATION {"citationID":"WprOIXx8","properties":{"formattedCitation":"\\super 8\\nosupersub{}","plainCitation":"8","noteIndex":0},"citationItems":[{"id":784,"uris":["http://zotero.org/users/6192396/items/LEMGTZXF"],"itemData":{"id":784,"type":"article-journal","abstract":"Introduction\nTriple-negative breast cancer (TNBC) is negative for hormone receptors and human epidermal growth factor receptor 2 (HER2). In stage I TNBC, adjuvant therapy or follow-up are performed according to risk factors, but clinical trial data is scarce. In recent years, it has been reported that HER2-low cases (1+/2+ and in situ hybridization negative) have different prognoses than HER2-0 cases. However, the risk of recurrence and risk factors in this HER2-low population for stage I TNBC have not yet been investigated.\n\nMethods\nHerein, out of 174 patients with TNBC who underwent surgery from June 2004 to December 2009 at the National Cancer Center Hospital (Tokyo), we retrospectively examined 42 cases diagnosed as T1N0M0 TNBC after excluding those treated with preoperative chemotherapy.\n\nResults\nAll patients were female, the median age was 60.5 years, and 11 cases were HER2-low and 31 cases were HER2-0. The median follow-up period was 121 months. Postoperative adjuvant therapy was administered in 30 patients and recurrence occurred in 8 patients. HER2-low cases showed a significantly shorter disease-free survival (HR: 7.0; 95% CI: 1.2– 40.2; P=0.0016) and a trend towards shorter overall survival (hazard ratio [HR]: 4.2, 95% confidence interval [CI]: 0.58–31.4) compared with that of HER2-0 cases. HER2 was also identified as a factor for poor prognosis from the point- estimated values in univariate and multivariate analyses after confirming that there was no correlation between the other factors.\n\nConclusion\nFor patients with stage I TNBC, the HER2-low population had a significantly worse prognosis than the HER2-0 population.","container-title":"Frontiers in Oncology","DOI":"10.3389/fonc.2023.1157789","ISSN":"2234-943X","journalAbbreviation":"Front Oncol","note":"PMID: 37051545\nPMCID: PMC10083471","page":"1157789","source":"PubMed Central","title":"Low HER2 expression is a predictor of poor prognosis in stage I triple-negative breast cancer","volume":"13","author":[{"family":"Sanomachi","given":"Tomomi"},{"family":"Okuma","given":"Hitomi Sumiyoshi"},{"family":"Kitadai","given":"Rui"},{"family":"Kawachi","given":"Asuka"},{"family":"Yazaki","given":"Shu"},{"family":"Tokura","given":"Momoko"},{"family":"Arakaki","given":"Motoko"},{"family":"Saito","given":"Ayumi"},{"family":"Kita","given":"Shosuke"},{"family":"Yamamoto","given":"Kasumi"},{"family":"Maejima","given":"Aiko"},{"family":"Kojima","given":"Yuki"},{"family":"Nishikawa","given":"Tadaaki"},{"family":"Sudo","given":"Kazuki"},{"family":"Shimoi","given":"Tatsunori"},{"family":"Noguchi","given":"Emi"},{"family":"Fujiwara","given":"Yasuhiro"},{"family":"Sugino","given":"Hirokazu"},{"family":"Shiino","given":"Sho"},{"family":"Suto","given":"Akihiko"},{"family":"Yoshida","given":"Masayuki"},{"family":"Yonemori","given":"Kan"}],"issued":{"date-parts":[["2023",3,27]]}}}],"schema":"https://github.com/citation-style-language/schema/raw/master/csl-citation.json"} </w:instrText>
      </w:r>
      <w:r w:rsidR="00C72AB0" w:rsidRPr="0098647E">
        <w:rPr>
          <w:rFonts w:ascii="Times New Roman" w:eastAsia="Times New Roman" w:hAnsi="Times New Roman" w:cs="Times New Roman"/>
          <w:kern w:val="0"/>
          <w:sz w:val="24"/>
          <w:szCs w:val="24"/>
          <w14:ligatures w14:val="none"/>
        </w:rPr>
        <w:fldChar w:fldCharType="separate"/>
      </w:r>
      <w:r w:rsidR="00C72AB0" w:rsidRPr="0098647E">
        <w:rPr>
          <w:rFonts w:ascii="Times New Roman" w:hAnsi="Times New Roman" w:cs="Times New Roman"/>
          <w:kern w:val="0"/>
          <w:sz w:val="24"/>
          <w:szCs w:val="24"/>
          <w:vertAlign w:val="superscript"/>
        </w:rPr>
        <w:t>8</w:t>
      </w:r>
      <w:r w:rsidR="00C72AB0" w:rsidRPr="0098647E">
        <w:rPr>
          <w:rFonts w:ascii="Times New Roman" w:eastAsia="Times New Roman" w:hAnsi="Times New Roman" w:cs="Times New Roman"/>
          <w:kern w:val="0"/>
          <w:sz w:val="24"/>
          <w:szCs w:val="24"/>
          <w14:ligatures w14:val="none"/>
        </w:rPr>
        <w:fldChar w:fldCharType="end"/>
      </w:r>
      <w:r w:rsidR="0036656D">
        <w:rPr>
          <w:rFonts w:ascii="Times New Roman" w:eastAsia="Times New Roman" w:hAnsi="Times New Roman" w:cs="Times New Roman"/>
          <w:kern w:val="0"/>
          <w:sz w:val="24"/>
          <w:szCs w:val="24"/>
          <w14:ligatures w14:val="none"/>
        </w:rPr>
        <w:t>.</w:t>
      </w:r>
      <w:r w:rsidR="001D0514" w:rsidRPr="0098647E">
        <w:rPr>
          <w:rFonts w:ascii="Times New Roman" w:eastAsia="Times New Roman" w:hAnsi="Times New Roman" w:cs="Times New Roman"/>
          <w:kern w:val="0"/>
          <w:sz w:val="24"/>
          <w:szCs w:val="24"/>
          <w14:ligatures w14:val="none"/>
        </w:rPr>
        <w:t xml:space="preserve"> </w:t>
      </w:r>
      <w:r w:rsidR="00077B4C" w:rsidRPr="0098647E">
        <w:rPr>
          <w:rFonts w:ascii="Times New Roman" w:eastAsia="Times New Roman" w:hAnsi="Times New Roman" w:cs="Times New Roman"/>
          <w:kern w:val="0"/>
          <w:sz w:val="24"/>
          <w:szCs w:val="24"/>
          <w14:ligatures w14:val="none"/>
        </w:rPr>
        <w:t>HER2</w:t>
      </w:r>
      <w:r w:rsidR="00767B68" w:rsidRPr="0098647E">
        <w:rPr>
          <w:rFonts w:ascii="Times New Roman" w:eastAsia="Times New Roman" w:hAnsi="Times New Roman" w:cs="Times New Roman"/>
          <w:kern w:val="0"/>
          <w:sz w:val="24"/>
          <w:szCs w:val="24"/>
          <w14:ligatures w14:val="none"/>
        </w:rPr>
        <w:t>-</w:t>
      </w:r>
      <w:r w:rsidR="00A71C94" w:rsidRPr="0098647E">
        <w:rPr>
          <w:rFonts w:ascii="Times New Roman" w:eastAsia="Times New Roman" w:hAnsi="Times New Roman" w:cs="Times New Roman"/>
          <w:kern w:val="0"/>
          <w:sz w:val="24"/>
          <w:szCs w:val="24"/>
          <w14:ligatures w14:val="none"/>
        </w:rPr>
        <w:t>thấp</w:t>
      </w:r>
      <w:r w:rsidR="001D0514" w:rsidRPr="0098647E">
        <w:rPr>
          <w:rFonts w:ascii="Times New Roman" w:eastAsia="Times New Roman" w:hAnsi="Times New Roman" w:cs="Times New Roman"/>
          <w:kern w:val="0"/>
          <w:sz w:val="24"/>
          <w:szCs w:val="24"/>
          <w14:ligatures w14:val="none"/>
        </w:rPr>
        <w:t xml:space="preserve"> được xác định là yếu tố tiên lượng </w:t>
      </w:r>
      <w:r w:rsidR="00A71C94" w:rsidRPr="0098647E">
        <w:rPr>
          <w:rFonts w:ascii="Times New Roman" w:eastAsia="Times New Roman" w:hAnsi="Times New Roman" w:cs="Times New Roman"/>
          <w:kern w:val="0"/>
          <w:sz w:val="24"/>
          <w:szCs w:val="24"/>
          <w14:ligatures w14:val="none"/>
        </w:rPr>
        <w:t>xấu</w:t>
      </w:r>
      <w:r w:rsidR="001D0514" w:rsidRPr="0098647E">
        <w:rPr>
          <w:rFonts w:ascii="Times New Roman" w:eastAsia="Times New Roman" w:hAnsi="Times New Roman" w:cs="Times New Roman"/>
          <w:kern w:val="0"/>
          <w:sz w:val="24"/>
          <w:szCs w:val="24"/>
          <w14:ligatures w14:val="none"/>
        </w:rPr>
        <w:t xml:space="preserve"> trong cả phân tích đơn biến và đa biến về DFS ở TNBC giai đoạn I</w:t>
      </w:r>
      <w:r w:rsidR="00A71C94" w:rsidRPr="0098647E">
        <w:rPr>
          <w:rFonts w:ascii="Times New Roman" w:eastAsia="Times New Roman" w:hAnsi="Times New Roman" w:cs="Times New Roman"/>
          <w:kern w:val="0"/>
          <w:sz w:val="24"/>
          <w:szCs w:val="24"/>
          <w14:ligatures w14:val="none"/>
        </w:rPr>
        <w:t xml:space="preserve"> trong NC của Tomomi trong khi trong nghiên cứu của chúng tôi</w:t>
      </w:r>
      <w:r w:rsidR="008D7794" w:rsidRPr="0098647E">
        <w:rPr>
          <w:rFonts w:ascii="Times New Roman" w:eastAsia="Times New Roman" w:hAnsi="Times New Roman" w:cs="Times New Roman"/>
          <w:kern w:val="0"/>
          <w:sz w:val="24"/>
          <w:szCs w:val="24"/>
          <w14:ligatures w14:val="none"/>
        </w:rPr>
        <w:t>,</w:t>
      </w:r>
      <w:r w:rsidR="00A71C94" w:rsidRPr="0098647E">
        <w:rPr>
          <w:rFonts w:ascii="Times New Roman" w:eastAsia="Times New Roman" w:hAnsi="Times New Roman" w:cs="Times New Roman"/>
          <w:kern w:val="0"/>
          <w:sz w:val="24"/>
          <w:szCs w:val="24"/>
          <w14:ligatures w14:val="none"/>
        </w:rPr>
        <w:t xml:space="preserve"> </w:t>
      </w:r>
      <w:r w:rsidR="008D7794" w:rsidRPr="0098647E">
        <w:rPr>
          <w:rFonts w:ascii="Times New Roman" w:hAnsi="Times New Roman" w:cs="Times New Roman"/>
          <w:sz w:val="24"/>
          <w:szCs w:val="24"/>
        </w:rPr>
        <w:t>p</w:t>
      </w:r>
      <w:r w:rsidR="00A71C94" w:rsidRPr="0098647E">
        <w:rPr>
          <w:rFonts w:ascii="Times New Roman" w:hAnsi="Times New Roman" w:cs="Times New Roman"/>
          <w:sz w:val="24"/>
          <w:szCs w:val="24"/>
        </w:rPr>
        <w:t xml:space="preserve">hân tích đơn biến cho thấy bệnh nhân với khối u bộc lộ </w:t>
      </w:r>
      <w:r w:rsidR="00077B4C" w:rsidRPr="0098647E">
        <w:rPr>
          <w:rFonts w:ascii="Times New Roman" w:hAnsi="Times New Roman" w:cs="Times New Roman"/>
          <w:sz w:val="24"/>
          <w:szCs w:val="24"/>
        </w:rPr>
        <w:t>HER2</w:t>
      </w:r>
      <w:r w:rsidR="00767B68" w:rsidRPr="0098647E">
        <w:rPr>
          <w:rFonts w:ascii="Times New Roman" w:hAnsi="Times New Roman" w:cs="Times New Roman"/>
          <w:sz w:val="24"/>
          <w:szCs w:val="24"/>
        </w:rPr>
        <w:t>-</w:t>
      </w:r>
      <w:r w:rsidR="00A71C94" w:rsidRPr="0098647E">
        <w:rPr>
          <w:rFonts w:ascii="Times New Roman" w:hAnsi="Times New Roman" w:cs="Times New Roman"/>
          <w:sz w:val="24"/>
          <w:szCs w:val="24"/>
        </w:rPr>
        <w:t xml:space="preserve">thấp có tỷ lệ sống thêm toàn bộ 5 năm (OS) thấp hơn so với những bệnh nhân có </w:t>
      </w:r>
      <w:r w:rsidR="00077B4C" w:rsidRPr="0098647E">
        <w:rPr>
          <w:rFonts w:ascii="Times New Roman" w:hAnsi="Times New Roman" w:cs="Times New Roman"/>
          <w:sz w:val="24"/>
          <w:szCs w:val="24"/>
        </w:rPr>
        <w:t>HER2</w:t>
      </w:r>
      <w:r w:rsidR="00767B68" w:rsidRPr="0098647E">
        <w:rPr>
          <w:rFonts w:ascii="Times New Roman" w:hAnsi="Times New Roman" w:cs="Times New Roman"/>
          <w:sz w:val="24"/>
          <w:szCs w:val="24"/>
        </w:rPr>
        <w:t>-0</w:t>
      </w:r>
      <w:r w:rsidR="0098647E">
        <w:rPr>
          <w:rFonts w:ascii="Times New Roman" w:eastAsia="Times New Roman" w:hAnsi="Times New Roman" w:cs="Times New Roman"/>
          <w:kern w:val="0"/>
          <w:sz w:val="24"/>
          <w:szCs w:val="24"/>
          <w14:ligatures w14:val="none"/>
        </w:rPr>
        <w:t>,</w:t>
      </w:r>
      <w:r w:rsidR="00382531" w:rsidRPr="0098647E">
        <w:rPr>
          <w:rFonts w:ascii="Times New Roman" w:eastAsia="Times New Roman" w:hAnsi="Times New Roman" w:cs="Times New Roman"/>
          <w:kern w:val="0"/>
          <w:sz w:val="24"/>
          <w:szCs w:val="24"/>
          <w14:ligatures w14:val="none"/>
        </w:rPr>
        <w:t xml:space="preserve"> </w:t>
      </w:r>
      <w:r w:rsidR="00382531" w:rsidRPr="0098647E">
        <w:rPr>
          <w:rFonts w:ascii="Times New Roman" w:hAnsi="Times New Roman" w:cs="Times New Roman"/>
          <w:sz w:val="24"/>
          <w:szCs w:val="24"/>
        </w:rPr>
        <w:t>Tương tự như các nghiên cứu trước, nghiên cứu của chúng tôi cho thấy tiên lượng tốt hơn ở nhóm có xâm nhập lympho mô u (TILs) cao</w:t>
      </w:r>
      <w:r w:rsidR="00382531" w:rsidRPr="0098647E">
        <w:rPr>
          <w:rFonts w:ascii="Times New Roman" w:hAnsi="Times New Roman" w:cs="Times New Roman"/>
          <w:sz w:val="24"/>
          <w:szCs w:val="24"/>
        </w:rPr>
        <w:fldChar w:fldCharType="begin"/>
      </w:r>
      <w:r w:rsidR="00382531" w:rsidRPr="0098647E">
        <w:rPr>
          <w:rFonts w:ascii="Times New Roman" w:hAnsi="Times New Roman" w:cs="Times New Roman"/>
          <w:sz w:val="24"/>
          <w:szCs w:val="24"/>
        </w:rPr>
        <w:instrText xml:space="preserve"> ADDIN ZOTERO_ITEM CSL_CITATION {"citationID":"AdjbVuxx","properties":{"formattedCitation":"\\super 9\\nosupersub{}","plainCitation":"9","noteIndex":0},"citationItems":[{"id":754,"uris":["http://zotero.org/users/6192396/items/QD3ZXSFT"],"itemData":{"id":754,"type":"article-journal","abstract":"BACKGROUND: This study investigated the prognostic value of tumor-infiltrating lymphocyte (TIL) density as determined by molecular subtype and receipt of adjuvant chemotherapy in invasive breast cancer (IBC).\nMETHODS: Stromal TIL densities were evaluated in 1489 IBC samples using recommendations proposed by the International TILs Working Group. Cases were allocated to high- and low-TIL density groups using a cutoff of 10%.\nRESULTS: Of the 1489 IBC patients, 427 (28.7%) were assigned to the high-TIL group and 1062 (71.3%) to the low-TIL group. High TIL density was found to be significantly associated with large tumor size (p = 0.001), high histologic grade (p &lt; 0.001), and high Ki-67 labeling index (p &lt; 0.001). Triple-negative and human epidermal growth factor receptor 2 (HER2)-positive subtypes had significantly higher TIL densities than luminal A or B (HER2-negative) subtypes (p &lt; 0.001). High TIL density was significantly associated with prolonged disease-free survival (DFS) by univariate (p &lt; 0.001) and multivariate (p &lt; 0.001) analyses. In the low-TIL-density group, the patients who did not receive adjuvant chemotherapy showed better DFS (p &lt; 0.001), but no such survival difference was observed in the high-TIL group (p = 0.222). For the patients who received adjuvant anthracycline, high-TIL density was found to be an independent prognostic factor of favorable DFS in the luminal B (HER2-negative; p = 0.003), HER2-positive (p = 0.019), and triple-negative (p = 0.017) subtypes.\nCONCLUSION: Measurements of TIL density in routine clinical practice could give useful prognostic information for the triple-negative, HER2-positive, and luminal B (HER2-negative) IBC subtypes, especially for patients administered adjuvant anthracycline.","container-title":"Annals of Surgical Oncology","DOI":"10.1245/s10434-017-6332-2","ISSN":"1534-4681","issue":"4","journalAbbreviation":"Ann Surg Oncol","language":"eng","note":"PMID: 29330719","page":"937-946","source":"PubMed","title":"Prognostic Value of Tumor-Infiltrating Lymphocyte Density Assessed Using a Standardized Method Based on Molecular Subtypes and Adjuvant Chemotherapy in Invasive Breast Cancer","volume":"25","author":[{"family":"Jang","given":"Nuri"},{"family":"Kwon","given":"Hee Jung"},{"family":"Park","given":"Min Hui"},{"family":"Kang","given":"Su Hwan"},{"family":"Bae","given":"Young Kyung"}],"issued":{"date-parts":[["2018",4]]}}}],"schema":"https://github.com/citation-style-language/schema/raw/master/csl-citation.json"} </w:instrText>
      </w:r>
      <w:r w:rsidR="00382531" w:rsidRPr="0098647E">
        <w:rPr>
          <w:rFonts w:ascii="Times New Roman" w:hAnsi="Times New Roman" w:cs="Times New Roman"/>
          <w:sz w:val="24"/>
          <w:szCs w:val="24"/>
        </w:rPr>
        <w:fldChar w:fldCharType="separate"/>
      </w:r>
      <w:r w:rsidR="00382531" w:rsidRPr="0098647E">
        <w:rPr>
          <w:rFonts w:ascii="Times New Roman" w:hAnsi="Times New Roman" w:cs="Times New Roman"/>
          <w:kern w:val="0"/>
          <w:sz w:val="24"/>
          <w:szCs w:val="24"/>
          <w:vertAlign w:val="superscript"/>
        </w:rPr>
        <w:t>9</w:t>
      </w:r>
      <w:r w:rsidR="00382531" w:rsidRPr="0098647E">
        <w:rPr>
          <w:rFonts w:ascii="Times New Roman" w:hAnsi="Times New Roman" w:cs="Times New Roman"/>
          <w:sz w:val="24"/>
          <w:szCs w:val="24"/>
        </w:rPr>
        <w:fldChar w:fldCharType="end"/>
      </w:r>
      <w:r w:rsidR="00382531" w:rsidRPr="0098647E">
        <w:rPr>
          <w:rFonts w:ascii="Times New Roman" w:hAnsi="Times New Roman" w:cs="Times New Roman"/>
          <w:sz w:val="24"/>
          <w:szCs w:val="24"/>
        </w:rPr>
        <w:t>,</w:t>
      </w:r>
      <w:r w:rsidR="00382531" w:rsidRPr="0098647E">
        <w:rPr>
          <w:rFonts w:ascii="Times New Roman" w:hAnsi="Times New Roman" w:cs="Times New Roman"/>
          <w:sz w:val="24"/>
          <w:szCs w:val="24"/>
        </w:rPr>
        <w:fldChar w:fldCharType="begin"/>
      </w:r>
      <w:r w:rsidR="00382531" w:rsidRPr="0098647E">
        <w:rPr>
          <w:rFonts w:ascii="Times New Roman" w:hAnsi="Times New Roman" w:cs="Times New Roman"/>
          <w:sz w:val="24"/>
          <w:szCs w:val="24"/>
        </w:rPr>
        <w:instrText xml:space="preserve"> ADDIN ZOTERO_ITEM CSL_CITATION {"citationID":"WiBpFupQ","properties":{"formattedCitation":"\\super 10\\nosupersub{}","plainCitation":"10","noteIndex":0},"citationItems":[{"id":756,"uris":["http://zotero.org/users/6192396/items/YRRRKXDR"],"itemData":{"id":756,"type":"article-journal","abstract":"PURPOSE: Triple-negative breast cancer (TNBC) is considered aggressive, and therefore, virtually all young patients with TNBC receive (neo)adjuvant chemotherapy. Increased stromal tumor-infiltrating lymphocytes (sTILs) have been associated with a favorable prognosis in TNBC. However, whether this association holds for patients who are node-negative (N0), young (&lt; 40 years), and chemotherapy-naïve, and thus can be used for chemotherapy de-escalation strategies, is unknown.\nMETHODS: We selected all patients with N0 TNBC diagnosed between 1989 and 2000 from a Dutch population-based registry. Patients were age &lt; 40 years at diagnosis and had not received (neo)adjuvant systemic therapy, as was standard practice at the time. Formalin-fixed paraffin-embedded blocks were retrieved (PALGA: Dutch Pathology Registry), and a pathology review including sTILs was performed. Patients were categorized according to sTILs (&lt; 30%, 30%-75%, and ≥ 75%). Multivariable Cox regression was performed for overall survival, with or without sTILs as a covariate. Cumulative incidence of distant metastasis or death was analyzed in a competing risk model, with second primary tumors as competing risk.\nRESULTS: sTILs were scored for 441 patients. High sTILs (≥ 75%; 21%) translated into an excellent prognosis with a 15-year cumulative incidence of a distant metastasis or death of only 2.1% (95% CI, 0 to 5.0), whereas low sTILs (&lt; 30%; 52%) had an unfavorable prognosis with a 15-year cumulative incidence of a distant metastasis or death of 38.4% (32.1 to 44.6). In addition, every 10% increment of sTILs decreased the risk of death by 19% (adjusted hazard ratio: 0.81; 95% CI, 0.76 to 0.87), which are an independent predictor adding prognostic information to standard clinicopathologic variables (χ2 = 46.7, P &lt; .001).\nCONCLUSION: Chemotherapy-naïve, young patients with N0 TNBC with high sTILs (≥ 75%) have an excellent long-term prognosis. Therefore, sTILs should be considered for prospective clinical trials investigating (neo)adjuvant chemotherapy de-escalation strategies.","container-title":"Journal of Clinical Oncology: Official Journal of the American Society of Clinical Oncology","DOI":"10.1200/JCO.21.01536","ISSN":"1527-7755","issue":"21","journalAbbreviation":"J Clin Oncol","language":"eng","note":"PMID: 35353548\nPMCID: PMC9287283","page":"2361-2374","source":"PubMed","title":"Prognostic Value of Stromal Tumor-Infiltrating Lymphocytes in Young, Node-Negative, Triple-Negative Breast Cancer Patients Who Did Not Receive (neo)Adjuvant Systemic Therapy","volume":"40","author":[{"family":"Jong","given":"Vincent M. T.","non-dropping-particle":"de"},{"family":"Wang","given":"Yuwei"},{"family":"Ter Hoeve","given":"Natalie D."},{"family":"Opdam","given":"Mark"},{"family":"Stathonikos","given":"Nikolas"},{"family":"Jóźwiak","given":"Katarzyna"},{"family":"Hauptmann","given":"Michael"},{"family":"Cornelissen","given":"Sten"},{"family":"Vreuls","given":"Willem"},{"family":"Rosenberg","given":"Efraim H."},{"family":"Koop","given":"Esther A."},{"family":"Varga","given":"Zsuzsanna"},{"family":"Deurzen","given":"Carolien H. M.","non-dropping-particle":"van"},{"family":"Mooyaart","given":"Antien L."},{"family":"Córdoba","given":"Alicia"},{"family":"Groen","given":"Emma J."},{"family":"Bart","given":"Joost"},{"family":"Willems","given":"Stefan M."},{"family":"Zolota","given":"Vasiliki"},{"family":"Wesseling","given":"Jelle"},{"family":"Sapino","given":"Anna"},{"family":"Chmielik","given":"Ewa"},{"family":"Ryska","given":"Ales"},{"family":"Broeks","given":"Annegien"},{"family":"Voogd","given":"Adri C."},{"family":"Loi","given":"Sherene"},{"family":"Michiels","given":"Stefan"},{"family":"Sonke","given":"Gabe S."},{"family":"Wall","given":"Elsken","non-dropping-particle":"van der"},{"family":"Siesling","given":"Sabine"},{"family":"Diest","given":"Paul J.","non-dropping-particle":"van"},{"family":"Schmidt","given":"Marjanka K."},{"family":"Kok","given":"Marleen"},{"family":"Dackus","given":"Gwen M. H. E."},{"family":"Salgado","given":"Roberto"},{"family":"Linn","given":"Sabine C."}],"issued":{"date-parts":[["2022",7,20]]}}}],"schema":"https://github.com/citation-style-language/schema/raw/master/csl-citation.json"} </w:instrText>
      </w:r>
      <w:r w:rsidR="00382531" w:rsidRPr="0098647E">
        <w:rPr>
          <w:rFonts w:ascii="Times New Roman" w:hAnsi="Times New Roman" w:cs="Times New Roman"/>
          <w:sz w:val="24"/>
          <w:szCs w:val="24"/>
        </w:rPr>
        <w:fldChar w:fldCharType="separate"/>
      </w:r>
      <w:r w:rsidR="00382531" w:rsidRPr="0098647E">
        <w:rPr>
          <w:rFonts w:ascii="Times New Roman" w:hAnsi="Times New Roman" w:cs="Times New Roman"/>
          <w:kern w:val="0"/>
          <w:sz w:val="24"/>
          <w:szCs w:val="24"/>
          <w:vertAlign w:val="superscript"/>
        </w:rPr>
        <w:t>10</w:t>
      </w:r>
      <w:r w:rsidR="00382531" w:rsidRPr="0098647E">
        <w:rPr>
          <w:rFonts w:ascii="Times New Roman" w:hAnsi="Times New Roman" w:cs="Times New Roman"/>
          <w:sz w:val="24"/>
          <w:szCs w:val="24"/>
        </w:rPr>
        <w:fldChar w:fldCharType="end"/>
      </w:r>
      <w:r w:rsidR="0036656D">
        <w:rPr>
          <w:rFonts w:ascii="Times New Roman" w:hAnsi="Times New Roman" w:cs="Times New Roman"/>
          <w:sz w:val="24"/>
          <w:szCs w:val="24"/>
        </w:rPr>
        <w:t>.</w:t>
      </w:r>
    </w:p>
    <w:p w14:paraId="16CCC3F9" w14:textId="72843174" w:rsidR="00743627" w:rsidRPr="0098647E" w:rsidRDefault="006705AB" w:rsidP="00902398">
      <w:pPr>
        <w:spacing w:after="0" w:line="360" w:lineRule="auto"/>
        <w:jc w:val="both"/>
        <w:rPr>
          <w:rFonts w:ascii="Times New Roman" w:hAnsi="Times New Roman" w:cs="Times New Roman"/>
          <w:sz w:val="24"/>
          <w:szCs w:val="24"/>
        </w:rPr>
      </w:pPr>
      <w:r w:rsidRPr="0098647E">
        <w:rPr>
          <w:rFonts w:ascii="Times New Roman" w:hAnsi="Times New Roman" w:cs="Times New Roman"/>
          <w:sz w:val="24"/>
          <w:szCs w:val="24"/>
        </w:rPr>
        <w:t>Chúng tôi tìm thấy mối liên hệ giữa</w:t>
      </w:r>
      <w:r w:rsidR="007B7DD5" w:rsidRPr="0098647E">
        <w:rPr>
          <w:rFonts w:ascii="Times New Roman" w:hAnsi="Times New Roman" w:cs="Times New Roman"/>
          <w:sz w:val="24"/>
          <w:szCs w:val="24"/>
        </w:rPr>
        <w:t xml:space="preserve"> TILs </w:t>
      </w:r>
      <w:r w:rsidRPr="0098647E">
        <w:rPr>
          <w:rFonts w:ascii="Times New Roman" w:hAnsi="Times New Roman" w:cs="Times New Roman"/>
          <w:sz w:val="24"/>
          <w:szCs w:val="24"/>
        </w:rPr>
        <w:t>và tình trạng</w:t>
      </w:r>
      <w:r w:rsidR="007B7DD5" w:rsidRPr="0098647E">
        <w:rPr>
          <w:rFonts w:ascii="Times New Roman" w:hAnsi="Times New Roman" w:cs="Times New Roman"/>
          <w:sz w:val="24"/>
          <w:szCs w:val="24"/>
        </w:rPr>
        <w:t xml:space="preserve"> </w:t>
      </w:r>
      <w:r w:rsidR="00077B4C" w:rsidRPr="0098647E">
        <w:rPr>
          <w:rFonts w:ascii="Times New Roman" w:hAnsi="Times New Roman" w:cs="Times New Roman"/>
          <w:sz w:val="24"/>
          <w:szCs w:val="24"/>
        </w:rPr>
        <w:t>HER2</w:t>
      </w:r>
      <w:r w:rsidR="0036656D">
        <w:rPr>
          <w:rFonts w:ascii="Times New Roman" w:hAnsi="Times New Roman" w:cs="Times New Roman"/>
          <w:sz w:val="24"/>
          <w:szCs w:val="24"/>
        </w:rPr>
        <w:t>.</w:t>
      </w:r>
      <w:r w:rsidR="00637AB4" w:rsidRPr="0098647E">
        <w:rPr>
          <w:rFonts w:ascii="Times New Roman" w:hAnsi="Times New Roman" w:cs="Times New Roman"/>
          <w:sz w:val="24"/>
          <w:szCs w:val="24"/>
        </w:rPr>
        <w:t xml:space="preserve"> </w:t>
      </w:r>
      <w:r w:rsidR="009B1B69" w:rsidRPr="0098647E">
        <w:rPr>
          <w:rFonts w:ascii="Times New Roman" w:eastAsia="Times New Roman" w:hAnsi="Times New Roman" w:cs="Times New Roman"/>
          <w:kern w:val="0"/>
          <w:sz w:val="24"/>
          <w:szCs w:val="24"/>
          <w14:ligatures w14:val="none"/>
        </w:rPr>
        <w:t xml:space="preserve">Xâm nhập lympho mô u (TILs) ở nhóm </w:t>
      </w:r>
      <w:r w:rsidR="00077B4C" w:rsidRPr="0098647E">
        <w:rPr>
          <w:rFonts w:ascii="Times New Roman" w:eastAsia="Times New Roman" w:hAnsi="Times New Roman" w:cs="Times New Roman"/>
          <w:kern w:val="0"/>
          <w:sz w:val="24"/>
          <w:szCs w:val="24"/>
          <w14:ligatures w14:val="none"/>
        </w:rPr>
        <w:t>HER2</w:t>
      </w:r>
      <w:r w:rsidR="00767B68" w:rsidRPr="0098647E">
        <w:rPr>
          <w:rFonts w:ascii="Times New Roman" w:eastAsia="Times New Roman" w:hAnsi="Times New Roman" w:cs="Times New Roman"/>
          <w:kern w:val="0"/>
          <w:sz w:val="24"/>
          <w:szCs w:val="24"/>
          <w14:ligatures w14:val="none"/>
        </w:rPr>
        <w:t>-0</w:t>
      </w:r>
      <w:r w:rsidR="009B1B69" w:rsidRPr="0098647E">
        <w:rPr>
          <w:rFonts w:ascii="Times New Roman" w:eastAsia="Times New Roman" w:hAnsi="Times New Roman" w:cs="Times New Roman"/>
          <w:kern w:val="0"/>
          <w:sz w:val="24"/>
          <w:szCs w:val="24"/>
          <w14:ligatures w14:val="none"/>
        </w:rPr>
        <w:t xml:space="preserve"> cao hơn so với nhóm </w:t>
      </w:r>
      <w:r w:rsidR="00077B4C" w:rsidRPr="0098647E">
        <w:rPr>
          <w:rFonts w:ascii="Times New Roman" w:eastAsia="Times New Roman" w:hAnsi="Times New Roman" w:cs="Times New Roman"/>
          <w:kern w:val="0"/>
          <w:sz w:val="24"/>
          <w:szCs w:val="24"/>
          <w14:ligatures w14:val="none"/>
        </w:rPr>
        <w:t>HER2</w:t>
      </w:r>
      <w:r w:rsidR="00767B68" w:rsidRPr="0098647E">
        <w:rPr>
          <w:rFonts w:ascii="Times New Roman" w:eastAsia="Times New Roman" w:hAnsi="Times New Roman" w:cs="Times New Roman"/>
          <w:kern w:val="0"/>
          <w:sz w:val="24"/>
          <w:szCs w:val="24"/>
          <w14:ligatures w14:val="none"/>
        </w:rPr>
        <w:t>-</w:t>
      </w:r>
      <w:r w:rsidR="009B1B69" w:rsidRPr="0098647E">
        <w:rPr>
          <w:rFonts w:ascii="Times New Roman" w:eastAsia="Times New Roman" w:hAnsi="Times New Roman" w:cs="Times New Roman"/>
          <w:kern w:val="0"/>
          <w:sz w:val="24"/>
          <w:szCs w:val="24"/>
          <w14:ligatures w14:val="none"/>
        </w:rPr>
        <w:t xml:space="preserve"> thấp (p=0,005)</w:t>
      </w:r>
      <w:r w:rsidR="0084727A">
        <w:rPr>
          <w:rFonts w:ascii="Times New Roman" w:eastAsia="Times New Roman" w:hAnsi="Times New Roman" w:cs="Times New Roman"/>
          <w:kern w:val="0"/>
          <w:sz w:val="24"/>
          <w:szCs w:val="24"/>
          <w14:ligatures w14:val="none"/>
        </w:rPr>
        <w:t>.</w:t>
      </w:r>
      <w:r w:rsidR="009B1B69" w:rsidRPr="0098647E">
        <w:rPr>
          <w:rFonts w:ascii="Times New Roman" w:eastAsia="Times New Roman" w:hAnsi="Times New Roman" w:cs="Times New Roman"/>
          <w:kern w:val="0"/>
          <w:sz w:val="24"/>
          <w:szCs w:val="24"/>
          <w14:ligatures w14:val="none"/>
        </w:rPr>
        <w:t xml:space="preserve"> </w:t>
      </w:r>
      <w:r w:rsidR="006F7FDD" w:rsidRPr="0098647E">
        <w:rPr>
          <w:rFonts w:ascii="Times New Roman" w:hAnsi="Times New Roman" w:cs="Times New Roman"/>
          <w:sz w:val="24"/>
          <w:szCs w:val="24"/>
        </w:rPr>
        <w:t xml:space="preserve">Theo Xi và cộng sự, </w:t>
      </w:r>
      <w:r w:rsidR="0089489A" w:rsidRPr="0098647E">
        <w:rPr>
          <w:rFonts w:ascii="Times New Roman" w:hAnsi="Times New Roman" w:cs="Times New Roman"/>
          <w:sz w:val="24"/>
          <w:szCs w:val="24"/>
        </w:rPr>
        <w:t>ung thư vú bộ ba âm tính có</w:t>
      </w:r>
      <w:r w:rsidR="00767B68" w:rsidRPr="0098647E">
        <w:rPr>
          <w:rFonts w:ascii="Times New Roman" w:hAnsi="Times New Roman" w:cs="Times New Roman"/>
          <w:sz w:val="24"/>
          <w:szCs w:val="24"/>
        </w:rPr>
        <w:t xml:space="preserve"> tình trạng</w:t>
      </w:r>
      <w:r w:rsidR="0089489A" w:rsidRPr="0098647E">
        <w:rPr>
          <w:rFonts w:ascii="Times New Roman" w:hAnsi="Times New Roman" w:cs="Times New Roman"/>
          <w:sz w:val="24"/>
          <w:szCs w:val="24"/>
        </w:rPr>
        <w:t xml:space="preserve"> </w:t>
      </w:r>
      <w:r w:rsidR="00077B4C" w:rsidRPr="0098647E">
        <w:rPr>
          <w:rFonts w:ascii="Times New Roman" w:hAnsi="Times New Roman" w:cs="Times New Roman"/>
          <w:sz w:val="24"/>
          <w:szCs w:val="24"/>
        </w:rPr>
        <w:t>HER2</w:t>
      </w:r>
      <w:r w:rsidR="00767B68" w:rsidRPr="0098647E">
        <w:rPr>
          <w:rFonts w:ascii="Times New Roman" w:hAnsi="Times New Roman" w:cs="Times New Roman"/>
          <w:sz w:val="24"/>
          <w:szCs w:val="24"/>
        </w:rPr>
        <w:t>-0</w:t>
      </w:r>
      <w:r w:rsidR="0089489A" w:rsidRPr="0098647E">
        <w:rPr>
          <w:rFonts w:ascii="Times New Roman" w:hAnsi="Times New Roman" w:cs="Times New Roman"/>
          <w:sz w:val="24"/>
          <w:szCs w:val="24"/>
        </w:rPr>
        <w:t xml:space="preserve"> có vi môi trường </w:t>
      </w:r>
      <w:r w:rsidR="008F2325" w:rsidRPr="0098647E">
        <w:rPr>
          <w:rFonts w:ascii="Times New Roman" w:hAnsi="Times New Roman" w:cs="Times New Roman"/>
          <w:sz w:val="24"/>
          <w:szCs w:val="24"/>
        </w:rPr>
        <w:t xml:space="preserve">u hoạt động </w:t>
      </w:r>
      <w:r w:rsidR="0089489A" w:rsidRPr="0098647E">
        <w:rPr>
          <w:rFonts w:ascii="Times New Roman" w:hAnsi="Times New Roman" w:cs="Times New Roman"/>
          <w:sz w:val="24"/>
          <w:szCs w:val="24"/>
        </w:rPr>
        <w:t xml:space="preserve">miễn dịch mạnh hơn so với </w:t>
      </w:r>
      <w:r w:rsidR="008F2325" w:rsidRPr="0098647E">
        <w:rPr>
          <w:rFonts w:ascii="Times New Roman" w:hAnsi="Times New Roman" w:cs="Times New Roman"/>
          <w:sz w:val="24"/>
          <w:szCs w:val="24"/>
        </w:rPr>
        <w:t>nhóm</w:t>
      </w:r>
      <w:r w:rsidR="0089489A" w:rsidRPr="0098647E">
        <w:rPr>
          <w:rFonts w:ascii="Times New Roman" w:hAnsi="Times New Roman" w:cs="Times New Roman"/>
          <w:sz w:val="24"/>
          <w:szCs w:val="24"/>
        </w:rPr>
        <w:t xml:space="preserve"> </w:t>
      </w:r>
      <w:r w:rsidR="00077B4C" w:rsidRPr="0098647E">
        <w:rPr>
          <w:rFonts w:ascii="Times New Roman" w:hAnsi="Times New Roman" w:cs="Times New Roman"/>
          <w:sz w:val="24"/>
          <w:szCs w:val="24"/>
        </w:rPr>
        <w:t>HER2</w:t>
      </w:r>
      <w:r w:rsidR="00767B68" w:rsidRPr="0098647E">
        <w:rPr>
          <w:rFonts w:ascii="Times New Roman" w:hAnsi="Times New Roman" w:cs="Times New Roman"/>
          <w:sz w:val="24"/>
          <w:szCs w:val="24"/>
        </w:rPr>
        <w:t>-</w:t>
      </w:r>
      <w:r w:rsidR="0089489A" w:rsidRPr="0098647E">
        <w:rPr>
          <w:rFonts w:ascii="Times New Roman" w:hAnsi="Times New Roman" w:cs="Times New Roman"/>
          <w:sz w:val="24"/>
          <w:szCs w:val="24"/>
        </w:rPr>
        <w:t xml:space="preserve">thấp, được chỉ ra bởi sự phân cực đại thực bào </w:t>
      </w:r>
      <w:r w:rsidR="00287714" w:rsidRPr="0098647E">
        <w:rPr>
          <w:rFonts w:ascii="Times New Roman" w:hAnsi="Times New Roman" w:cs="Times New Roman"/>
          <w:sz w:val="24"/>
          <w:szCs w:val="24"/>
        </w:rPr>
        <w:t xml:space="preserve">và </w:t>
      </w:r>
      <w:r w:rsidR="0089489A" w:rsidRPr="0098647E">
        <w:rPr>
          <w:rFonts w:ascii="Times New Roman" w:hAnsi="Times New Roman" w:cs="Times New Roman"/>
          <w:sz w:val="24"/>
          <w:szCs w:val="24"/>
        </w:rPr>
        <w:t xml:space="preserve">sự </w:t>
      </w:r>
      <w:r w:rsidR="00287714" w:rsidRPr="0098647E">
        <w:rPr>
          <w:rFonts w:ascii="Times New Roman" w:hAnsi="Times New Roman" w:cs="Times New Roman"/>
          <w:sz w:val="24"/>
          <w:szCs w:val="24"/>
        </w:rPr>
        <w:t xml:space="preserve">tập trung số lượng lớn các </w:t>
      </w:r>
      <w:r w:rsidR="0089489A" w:rsidRPr="0098647E">
        <w:rPr>
          <w:rFonts w:ascii="Times New Roman" w:hAnsi="Times New Roman" w:cs="Times New Roman"/>
          <w:sz w:val="24"/>
          <w:szCs w:val="24"/>
        </w:rPr>
        <w:t>tế bào T CD8+</w:t>
      </w:r>
      <w:r w:rsidR="00D175E1" w:rsidRPr="0098647E">
        <w:rPr>
          <w:rFonts w:ascii="Times New Roman" w:hAnsi="Times New Roman" w:cs="Times New Roman"/>
          <w:sz w:val="24"/>
          <w:szCs w:val="24"/>
        </w:rPr>
        <w:fldChar w:fldCharType="begin"/>
      </w:r>
      <w:r w:rsidR="00382531" w:rsidRPr="0098647E">
        <w:rPr>
          <w:rFonts w:ascii="Times New Roman" w:hAnsi="Times New Roman" w:cs="Times New Roman"/>
          <w:sz w:val="24"/>
          <w:szCs w:val="24"/>
        </w:rPr>
        <w:instrText xml:space="preserve"> ADDIN ZOTERO_ITEM CSL_CITATION {"citationID":"cyY5MRgP","properties":{"formattedCitation":"\\super 11\\nosupersub{}","plainCitation":"11","noteIndex":0},"citationItems":[{"id":543,"uris":["http://zotero.org/users/6192396/items/WGJ2B9WU"],"itemData":{"id":543,"type":"article-journal","abstract":"HER2-low could be found in some patients with triple-negative breast cancer (TNBC). However, its potential impacts on clinical features and tumor biological characteristics in TNBC remain unclear.","container-title":"Breast Cancer Research","DOI":"10.1186/s13058-023-01639-y","ISSN":"1465-542X","issue":"1","journalAbbreviation":"Breast Cancer Research","page":"34","source":"BioMed Central","title":"Clinical and biological heterogeneities in triple-negative breast cancer reveals a non-negligible role of HER2-low","volume":"25","author":[{"family":"Hu","given":"Xi′e"},{"family":"Yang","given":"Ping"},{"family":"Chen","given":"Songhao"},{"family":"Wei","given":"Gang"},{"family":"Yuan","given":"Lijuan"},{"family":"Yang","given":"Zhenyu"},{"family":"Gong","given":"Li"},{"family":"He","given":"Li"},{"family":"Yang","given":"Lin"},{"family":"Peng","given":"Shujia"},{"family":"Dong","given":"Yanming"},{"family":"He","given":"Xianli"},{"family":"Bao","given":"Guoqiang"}],"issued":{"date-parts":[["2023",3,30]]}}}],"schema":"https://github.com/citation-style-language/schema/raw/master/csl-citation.json"} </w:instrText>
      </w:r>
      <w:r w:rsidR="00D175E1" w:rsidRPr="0098647E">
        <w:rPr>
          <w:rFonts w:ascii="Times New Roman" w:hAnsi="Times New Roman" w:cs="Times New Roman"/>
          <w:sz w:val="24"/>
          <w:szCs w:val="24"/>
        </w:rPr>
        <w:fldChar w:fldCharType="separate"/>
      </w:r>
      <w:r w:rsidR="00382531" w:rsidRPr="0098647E">
        <w:rPr>
          <w:rFonts w:ascii="Times New Roman" w:hAnsi="Times New Roman" w:cs="Times New Roman"/>
          <w:kern w:val="0"/>
          <w:sz w:val="24"/>
          <w:szCs w:val="24"/>
          <w:vertAlign w:val="superscript"/>
        </w:rPr>
        <w:t>11</w:t>
      </w:r>
      <w:r w:rsidR="00D175E1" w:rsidRPr="0098647E">
        <w:rPr>
          <w:rFonts w:ascii="Times New Roman" w:hAnsi="Times New Roman" w:cs="Times New Roman"/>
          <w:sz w:val="24"/>
          <w:szCs w:val="24"/>
        </w:rPr>
        <w:fldChar w:fldCharType="end"/>
      </w:r>
      <w:r w:rsidR="0084727A">
        <w:rPr>
          <w:rFonts w:ascii="Times New Roman" w:hAnsi="Times New Roman" w:cs="Times New Roman"/>
          <w:sz w:val="24"/>
          <w:szCs w:val="24"/>
        </w:rPr>
        <w:t>.</w:t>
      </w:r>
      <w:r w:rsidR="00DE3C5A" w:rsidRPr="0098647E">
        <w:rPr>
          <w:rFonts w:ascii="Times New Roman" w:hAnsi="Times New Roman" w:cs="Times New Roman"/>
          <w:sz w:val="24"/>
          <w:szCs w:val="24"/>
        </w:rPr>
        <w:t xml:space="preserve"> Thêm vào đó, trên nhóm bệnh nhân ung thư vú bộ ba âm tính, các khối u có </w:t>
      </w:r>
      <w:r w:rsidR="00077B4C" w:rsidRPr="0098647E">
        <w:rPr>
          <w:rFonts w:ascii="Times New Roman" w:hAnsi="Times New Roman" w:cs="Times New Roman"/>
          <w:sz w:val="24"/>
          <w:szCs w:val="24"/>
        </w:rPr>
        <w:t>HER2</w:t>
      </w:r>
      <w:r w:rsidR="00767B68" w:rsidRPr="0098647E">
        <w:rPr>
          <w:rFonts w:ascii="Times New Roman" w:hAnsi="Times New Roman" w:cs="Times New Roman"/>
          <w:sz w:val="24"/>
          <w:szCs w:val="24"/>
        </w:rPr>
        <w:t>-</w:t>
      </w:r>
      <w:r w:rsidR="00DE3C5A" w:rsidRPr="0098647E">
        <w:rPr>
          <w:rFonts w:ascii="Times New Roman" w:hAnsi="Times New Roman" w:cs="Times New Roman"/>
          <w:sz w:val="24"/>
          <w:szCs w:val="24"/>
        </w:rPr>
        <w:t xml:space="preserve">thấp có tỷ lệ đáp ứng hoàn toàn trên mô bệnh học thấp hơn so với khối u </w:t>
      </w:r>
      <w:r w:rsidR="00077B4C" w:rsidRPr="0098647E">
        <w:rPr>
          <w:rFonts w:ascii="Times New Roman" w:hAnsi="Times New Roman" w:cs="Times New Roman"/>
          <w:sz w:val="24"/>
          <w:szCs w:val="24"/>
        </w:rPr>
        <w:t>HER2</w:t>
      </w:r>
      <w:r w:rsidR="00767B68" w:rsidRPr="0098647E">
        <w:rPr>
          <w:rFonts w:ascii="Times New Roman" w:hAnsi="Times New Roman" w:cs="Times New Roman"/>
          <w:sz w:val="24"/>
          <w:szCs w:val="24"/>
        </w:rPr>
        <w:t>-0</w:t>
      </w:r>
      <w:r w:rsidR="0061042F" w:rsidRPr="0098647E">
        <w:rPr>
          <w:rFonts w:ascii="Times New Roman" w:hAnsi="Times New Roman" w:cs="Times New Roman"/>
          <w:sz w:val="24"/>
          <w:szCs w:val="24"/>
        </w:rPr>
        <w:fldChar w:fldCharType="begin"/>
      </w:r>
      <w:r w:rsidR="00382531" w:rsidRPr="0098647E">
        <w:rPr>
          <w:rFonts w:ascii="Times New Roman" w:hAnsi="Times New Roman" w:cs="Times New Roman"/>
          <w:sz w:val="24"/>
          <w:szCs w:val="24"/>
        </w:rPr>
        <w:instrText xml:space="preserve"> ADDIN ZOTERO_ITEM CSL_CITATION {"citationID":"bosbPeEM","properties":{"formattedCitation":"\\super 12\\nosupersub{}","plainCitation":"12","noteIndex":0},"citationItems":[{"id":729,"uris":["http://zotero.org/users/6192396/items/35XUKKEL"],"itemData":{"id":729,"type":"article-journal","abstract":"Background\nThe development of anti-HER2 antibody–drug conjugates opens new therapeutic options for patients with breast cancer, including patients with low expression of HER2. To characterise this new breast cancer subtype, we have compared the clinical and molecular characteristics of HER2-low-positive and HER2-zero breast cancer, including response to neoadjuvant chemotherapy and prognosis.\nMethods\nIn this pooled analysis of individual patient data, we evaluated a cohort of 2310 patients with HER2-non-amplified primary breast cancer that were treated with neoadjuvant combination chemotherapy in four prospective neoadjuvant clinical trials (GeparSepto, NCT01583426; GeparOcto, NCT02125344; GeparX, NCT02682693; Gain-2 neoadjuvant, NCT01690702) between July 30, 2012, and March 20, 2019. Central HER2 testing was done prospectively before random assignment of participants in all trials. HER2-low-positive status was defined as immunohistochemistry (IHC) 1+ or IHC2+/in-situ hybridisation negative and HER2-zero was defined as IHC0, based on the American Society of Clinical Oncology/College of American Pathologists guidelines. Disease-free survival and overall survival data were available for 1694 patients (from all trials except GeparX) with a median follow-up of 46·6 months (IQR 35·0–52·3). Bivariable and multivariable logistic regression models and Cox-proportional hazards models were performed based on a predefined statistical analysis plan for analysis of the endpoints pathological complete response, disease-free survival, and overall survival.\nFindings\nA total of 1098 (47·5%) of 2310 tumours were HER2-low-positive and 1212 (52·5%) were HER2-zero. 703 (64·0%) of 1098 patients with HER2-low-positive tumours were hormone receptor positive, compared with 445 (36·7%) of 1212 patients with HER2-zero tumours (p&lt;0.0001). HER2-low-positive tumours had a significantly lower pathological complete response rate than HER2-zero tumours (321 [29·2%] of 1098 vs 473 [39·0%] of 1212, p=0·0002). Pathological complete response was also significantly lower in HER2-low-positive tumours versus HER2-zero tumours in the hormone receptor-positive subgroup (123 [17·5%] of 703 vs 105 [23·6%] of 445, p=0·024), but not in the hormone receptor-negative subgroup (198 [50·1%] of 395 vs 368 [48·0%] of 767, p=0·21). Patients with HER2-low-positive tumours had significantly longer survival than did patients with HER2-zero tumours (3-year disease-free survival: 83·4% [95% CI 80·5–85·9] vs 76·1% [72·9–79·0]; stratified log-rank test p=0·0084; 3-year overall survival: 91·6% [84·9–93·4] vs 85·8% [83·0–88·1]; stratified log-rank test p=0·0016). Survival differences were also seen in patients with hormone receptor-negative tumours (3-year disease-free survival: 84·5% [95% CI 79·5–88·3] vs 74·4% [70·2–78.0]; stratified log-rank test p=0·0076; 3-year overall survival: 90·2% [86·0–93·2] vs 84·3% [80·7–87·3], stratified log-rank test p=0·016), but not in patients with hormone receptor-positive tumours (3-year disease-free survival 82·8% [79·1–85·9] vs 79·3% [73·9–83·7]; stratified log-rank test p=0·39; 3-year overall survival 92·3% [89·6–94·4] vs 88·4% [83·8–91·8]; stratified log-rank test p=0·13).\nInterpretation\nOur results show that HER2-low-positive tumours can be identified as new subgroup of breast cancer by standardised IHC, distinct from HER2-zero tumours. HER2-low-positive tumours have a specific biology and show differences in response to therapy and prognosis, which is particularly relevant in therapy-resistant, hormone receptor-negative tumours. Our results provide a basis for a better understanding of the biology of breast cancer subtypes and the refinement of future diagnostic and therapeutic strategies.\nFunding\nGerman Cancer Aid (Deutsche Krebshilfe).","container-title":"The Lancet Oncology","DOI":"10.1016/S1470-2045(21)00301-6","ISSN":"1470-2045","issue":"8","journalAbbreviation":"The Lancet Oncology","page":"1151-1161","source":"ScienceDirect","title":"Clinical and molecular characteristics of HER2-low-positive breast cancer: pooled analysis of individual patient data from four prospective, neoadjuvant clinical trials","title-short":"Clinical and molecular characteristics of HER2-low-positive breast cancer","volume":"22","author":[{"family":"Denkert","given":"Carsten"},{"family":"Seither","given":"Fenja"},{"family":"Schneeweiss","given":"Andreas"},{"family":"Link","given":"Theresa"},{"family":"Blohmer","given":"Jens-Uwe"},{"family":"Just","given":"Marianne"},{"family":"Wimberger","given":"Pauline"},{"family":"Forberger","given":"Almuth"},{"family":"Tesch","given":"Hans"},{"family":"Jackisch","given":"Christian"},{"family":"Schmatloch","given":"Sabine"},{"family":"Reinisch","given":"Mattea"},{"family":"Solomayer","given":"Erich F"},{"family":"Schmitt","given":"Wolfgang D"},{"family":"Hanusch","given":"Claus"},{"family":"Fasching","given":"Peter A"},{"family":"Lübbe","given":"Kristina"},{"family":"Solbach","given":"Christine"},{"family":"Huober","given":"Jens"},{"family":"Rhiem","given":"Kerstin"},{"family":"Marmé","given":"Frederik"},{"family":"Reimer","given":"Toralf"},{"family":"Schmidt","given":"Marcus"},{"family":"Sinn","given":"Bruno V"},{"family":"Janni","given":"Wolfgang"},{"family":"Stickeler","given":"Elmar"},{"family":"Michel","given":"Laura"},{"family":"Stötzer","given":"Oliver"},{"family":"Hahnen","given":"Eric"},{"family":"Furlanetto","given":"Jenny"},{"family":"Seiler","given":"Sabine"},{"family":"Nekljudova","given":"Valentina"},{"family":"Untch","given":"Michael"},{"family":"Loibl","given":"Sibylle"}],"issued":{"date-parts":[["2021",8,1]]}}}],"schema":"https://github.com/citation-style-language/schema/raw/master/csl-citation.json"} </w:instrText>
      </w:r>
      <w:r w:rsidR="0061042F" w:rsidRPr="0098647E">
        <w:rPr>
          <w:rFonts w:ascii="Times New Roman" w:hAnsi="Times New Roman" w:cs="Times New Roman"/>
          <w:sz w:val="24"/>
          <w:szCs w:val="24"/>
        </w:rPr>
        <w:fldChar w:fldCharType="separate"/>
      </w:r>
      <w:r w:rsidR="00382531" w:rsidRPr="0098647E">
        <w:rPr>
          <w:rFonts w:ascii="Times New Roman" w:hAnsi="Times New Roman" w:cs="Times New Roman"/>
          <w:kern w:val="0"/>
          <w:sz w:val="24"/>
          <w:szCs w:val="24"/>
          <w:vertAlign w:val="superscript"/>
        </w:rPr>
        <w:t>12</w:t>
      </w:r>
      <w:r w:rsidR="0061042F" w:rsidRPr="0098647E">
        <w:rPr>
          <w:rFonts w:ascii="Times New Roman" w:hAnsi="Times New Roman" w:cs="Times New Roman"/>
          <w:sz w:val="24"/>
          <w:szCs w:val="24"/>
        </w:rPr>
        <w:fldChar w:fldCharType="end"/>
      </w:r>
      <w:r w:rsidR="0021128C" w:rsidRPr="0098647E">
        <w:rPr>
          <w:rFonts w:ascii="Times New Roman" w:hAnsi="Times New Roman" w:cs="Times New Roman"/>
          <w:sz w:val="24"/>
          <w:szCs w:val="24"/>
        </w:rPr>
        <w:t xml:space="preserve">, </w:t>
      </w:r>
      <w:r w:rsidR="00737128" w:rsidRPr="0098647E">
        <w:rPr>
          <w:rFonts w:ascii="Times New Roman" w:hAnsi="Times New Roman" w:cs="Times New Roman"/>
          <w:sz w:val="24"/>
          <w:szCs w:val="24"/>
        </w:rPr>
        <w:t>và liên quan đến đáp ứng miễn dịch thấp hơn</w:t>
      </w:r>
      <w:r w:rsidR="00755BA4" w:rsidRPr="0098647E">
        <w:rPr>
          <w:rFonts w:ascii="Times New Roman" w:hAnsi="Times New Roman" w:cs="Times New Roman"/>
          <w:sz w:val="24"/>
          <w:szCs w:val="24"/>
        </w:rPr>
        <w:fldChar w:fldCharType="begin"/>
      </w:r>
      <w:r w:rsidR="00382531" w:rsidRPr="0098647E">
        <w:rPr>
          <w:rFonts w:ascii="Times New Roman" w:hAnsi="Times New Roman" w:cs="Times New Roman"/>
          <w:sz w:val="24"/>
          <w:szCs w:val="24"/>
        </w:rPr>
        <w:instrText xml:space="preserve"> ADDIN ZOTERO_ITEM CSL_CITATION {"citationID":"jVmD3lYN","properties":{"formattedCitation":"\\super 13\\nosupersub{}","plainCitation":"13","noteIndex":0},"citationItems":[{"id":532,"uris":["http://zotero.org/users/6192396/items/88KKEZ5M"],"itemData":{"id":532,"type":"article-journal","abstract":"Currently, the human epidermal growth factor receptor 2 (HER2) status of breast cancer is classified dichotomously as negative or positive to select patients for HER2-targeted therapy. However, with the introduction of novel treatment options, it is important to get more insight in the biology of cancers with low HER2 expression. Therefore, we studied several clinicopathologic characteristics in relation to the level of HER2 expression (HER2- versus HER2low). We used a well-documented cohort of breast cancer patients (n = 529), with available tissue microarrays and Affymetrix mRNA expression data. HER2 status was scored as negative (immunohistochemistry 0) or low (immunohistochemistry 1 + or 2 + without amplification). We associated HER2 status with several clinicopathologic characteristics, gene-expression data and survival, stratified for estrogen receptor (ER) status. Overall, breast cancers were scored as HER2- (n = 429) or HER2low (n = 100). Within the ER+ cohort (n = 305), no significant associations were found between the HER2 groups and clinicopathologic features. However, HER2low tumors showed several differentially expressed genes compared to HER2- cases, including genes that are associated with worse outcome and depletion of immunity. In ER- cases (n = 224), HER2low status was significantly associated with increased regional nodal positivity, lower density of tumor infiltrating lymphocyte and a lower protein expression of Ki-67 and EGFR compared to HER2- cases. After multivariate analysis, only density of tumor infiltrating lymphocytes remained significantly associated with HER2low status (P = 0.035). No difference in survival was observed between HER2low and HER2- patients, neither in the ER+ nor ER- cohort. In conclusion, our data suggests that HER2low breast cancer is associated with a lower immune response compared to HER2- breast cancer.","container-title":"Scientific Reports","DOI":"10.1038/s41598-022-16898-6","ISSN":"2045-2322","issue":"1","journalAbbreviation":"Sci Rep","language":"en","license":"2022 The Author(s)","note":"number: 1\npublisher: Nature Publishing Group","page":"12974","source":"www.nature.com","title":"HER2-low breast cancer shows a lower immune response compared to HER2-negative cases","volume":"12","author":[{"family":"Ende","given":"Nadine S.","non-dropping-particle":"van den"},{"family":"Smid","given":"Marcel"},{"family":"Timmermans","given":"Annemieke"},{"family":"Brakel","given":"Johannes B.","non-dropping-particle":"van"},{"family":"Hansum","given":"Tim"},{"family":"Foekens","given":"Renée"},{"family":"Trapman","given":"Anita M. A. C."},{"family":"Heemskerk-Gerritsen","given":"Bernadette A. M."},{"family":"Jager","given":"Agnes"},{"family":"Martens","given":"John W. M."},{"family":"Deurzen","given":"Carolien H. M.","non-dropping-particle":"van"}],"issued":{"date-parts":[["2022",7,28]]}}}],"schema":"https://github.com/citation-style-language/schema/raw/master/csl-citation.json"} </w:instrText>
      </w:r>
      <w:r w:rsidR="00755BA4" w:rsidRPr="0098647E">
        <w:rPr>
          <w:rFonts w:ascii="Times New Roman" w:hAnsi="Times New Roman" w:cs="Times New Roman"/>
          <w:sz w:val="24"/>
          <w:szCs w:val="24"/>
        </w:rPr>
        <w:fldChar w:fldCharType="separate"/>
      </w:r>
      <w:r w:rsidR="00382531" w:rsidRPr="0098647E">
        <w:rPr>
          <w:rFonts w:ascii="Times New Roman" w:hAnsi="Times New Roman" w:cs="Times New Roman"/>
          <w:kern w:val="0"/>
          <w:sz w:val="24"/>
          <w:szCs w:val="24"/>
          <w:vertAlign w:val="superscript"/>
        </w:rPr>
        <w:t>13</w:t>
      </w:r>
      <w:r w:rsidR="00755BA4" w:rsidRPr="0098647E">
        <w:rPr>
          <w:rFonts w:ascii="Times New Roman" w:hAnsi="Times New Roman" w:cs="Times New Roman"/>
          <w:sz w:val="24"/>
          <w:szCs w:val="24"/>
        </w:rPr>
        <w:fldChar w:fldCharType="end"/>
      </w:r>
      <w:r w:rsidR="0084727A">
        <w:rPr>
          <w:rFonts w:ascii="Times New Roman" w:hAnsi="Times New Roman" w:cs="Times New Roman"/>
          <w:sz w:val="24"/>
          <w:szCs w:val="24"/>
        </w:rPr>
        <w:t>.</w:t>
      </w:r>
      <w:r w:rsidR="001574CB" w:rsidRPr="0098647E">
        <w:rPr>
          <w:rFonts w:ascii="Times New Roman" w:hAnsi="Times New Roman" w:cs="Times New Roman"/>
          <w:sz w:val="24"/>
          <w:szCs w:val="24"/>
        </w:rPr>
        <w:t xml:space="preserve"> </w:t>
      </w:r>
      <w:r w:rsidR="00737128" w:rsidRPr="0098647E">
        <w:rPr>
          <w:rFonts w:ascii="Times New Roman" w:hAnsi="Times New Roman" w:cs="Times New Roman"/>
          <w:sz w:val="24"/>
          <w:szCs w:val="24"/>
        </w:rPr>
        <w:t xml:space="preserve">Nghiên cứu này gợi ý rằng biểu hiện </w:t>
      </w:r>
      <w:r w:rsidR="00077B4C" w:rsidRPr="0098647E">
        <w:rPr>
          <w:rFonts w:ascii="Times New Roman" w:hAnsi="Times New Roman" w:cs="Times New Roman"/>
          <w:sz w:val="24"/>
          <w:szCs w:val="24"/>
        </w:rPr>
        <w:t>HER2</w:t>
      </w:r>
      <w:r w:rsidR="00737128" w:rsidRPr="0098647E">
        <w:rPr>
          <w:rFonts w:ascii="Times New Roman" w:hAnsi="Times New Roman" w:cs="Times New Roman"/>
          <w:sz w:val="24"/>
          <w:szCs w:val="24"/>
        </w:rPr>
        <w:t xml:space="preserve">-thấp có liên quan đến phản ứng miễn dịch trong u thấp hơn và kết quả sống còn kém hơn ở bệnh nhân ung thư vú bộ ba âm tính giai đoạn sớm so với nhóm </w:t>
      </w:r>
      <w:r w:rsidR="00077B4C" w:rsidRPr="0098647E">
        <w:rPr>
          <w:rFonts w:ascii="Times New Roman" w:hAnsi="Times New Roman" w:cs="Times New Roman"/>
          <w:sz w:val="24"/>
          <w:szCs w:val="24"/>
        </w:rPr>
        <w:t>HER2</w:t>
      </w:r>
      <w:r w:rsidR="00767B68" w:rsidRPr="0098647E">
        <w:rPr>
          <w:rFonts w:ascii="Times New Roman" w:hAnsi="Times New Roman" w:cs="Times New Roman"/>
          <w:sz w:val="24"/>
          <w:szCs w:val="24"/>
        </w:rPr>
        <w:t>-0</w:t>
      </w:r>
      <w:r w:rsidR="0084727A">
        <w:rPr>
          <w:rFonts w:ascii="Times New Roman" w:hAnsi="Times New Roman" w:cs="Times New Roman"/>
          <w:sz w:val="24"/>
          <w:szCs w:val="24"/>
        </w:rPr>
        <w:t>.</w:t>
      </w:r>
    </w:p>
    <w:p w14:paraId="78A14A4E" w14:textId="280FE04C" w:rsidR="008420A8" w:rsidRPr="0098647E" w:rsidRDefault="008420A8" w:rsidP="00902398">
      <w:pPr>
        <w:spacing w:after="0" w:line="360" w:lineRule="auto"/>
        <w:jc w:val="both"/>
        <w:rPr>
          <w:rFonts w:ascii="Times New Roman" w:eastAsia="Times New Roman" w:hAnsi="Times New Roman" w:cs="Times New Roman"/>
          <w:b/>
          <w:bCs/>
          <w:kern w:val="0"/>
          <w:sz w:val="24"/>
          <w:szCs w:val="24"/>
          <w14:ligatures w14:val="none"/>
        </w:rPr>
      </w:pPr>
      <w:r w:rsidRPr="0098647E">
        <w:rPr>
          <w:rFonts w:ascii="Times New Roman" w:eastAsia="Times New Roman" w:hAnsi="Times New Roman" w:cs="Times New Roman"/>
          <w:b/>
          <w:bCs/>
          <w:kern w:val="0"/>
          <w:sz w:val="24"/>
          <w:szCs w:val="24"/>
          <w14:ligatures w14:val="none"/>
        </w:rPr>
        <w:t>KẾT LUẬN</w:t>
      </w:r>
    </w:p>
    <w:p w14:paraId="57754619" w14:textId="45F0C9D5" w:rsidR="008420A8" w:rsidRPr="0098647E" w:rsidRDefault="008420A8" w:rsidP="00902398">
      <w:pPr>
        <w:spacing w:after="0" w:line="360" w:lineRule="auto"/>
        <w:jc w:val="both"/>
        <w:rPr>
          <w:rFonts w:ascii="Times New Roman" w:eastAsia="Times New Roman" w:hAnsi="Times New Roman" w:cs="Times New Roman"/>
          <w:kern w:val="0"/>
          <w:sz w:val="24"/>
          <w:szCs w:val="24"/>
          <w14:ligatures w14:val="none"/>
        </w:rPr>
      </w:pPr>
      <w:r w:rsidRPr="0098647E">
        <w:rPr>
          <w:rFonts w:ascii="Times New Roman" w:hAnsi="Times New Roman" w:cs="Times New Roman"/>
          <w:sz w:val="24"/>
          <w:szCs w:val="24"/>
        </w:rPr>
        <w:t xml:space="preserve">Nghiên cứu này gợi ý rằng biểu hiện </w:t>
      </w:r>
      <w:r w:rsidR="00077B4C" w:rsidRPr="0098647E">
        <w:rPr>
          <w:rFonts w:ascii="Times New Roman" w:hAnsi="Times New Roman" w:cs="Times New Roman"/>
          <w:sz w:val="24"/>
          <w:szCs w:val="24"/>
        </w:rPr>
        <w:t>HER2</w:t>
      </w:r>
      <w:r w:rsidRPr="0098647E">
        <w:rPr>
          <w:rFonts w:ascii="Times New Roman" w:hAnsi="Times New Roman" w:cs="Times New Roman"/>
          <w:sz w:val="24"/>
          <w:szCs w:val="24"/>
        </w:rPr>
        <w:t xml:space="preserve">-thấp có liên quan đến phản ứng miễn dịch trong u thấp hơn và kết quả sống còn kém hơn ở bệnh nhân ung thư vú bộ ba âm tính giai đoạn sớm so với nhóm </w:t>
      </w:r>
      <w:r w:rsidR="00077B4C" w:rsidRPr="0098647E">
        <w:rPr>
          <w:rFonts w:ascii="Times New Roman" w:hAnsi="Times New Roman" w:cs="Times New Roman"/>
          <w:sz w:val="24"/>
          <w:szCs w:val="24"/>
        </w:rPr>
        <w:t>HER2</w:t>
      </w:r>
      <w:r w:rsidR="00757F5F" w:rsidRPr="0098647E">
        <w:rPr>
          <w:rFonts w:ascii="Times New Roman" w:hAnsi="Times New Roman" w:cs="Times New Roman"/>
          <w:sz w:val="24"/>
          <w:szCs w:val="24"/>
        </w:rPr>
        <w:t>-0</w:t>
      </w:r>
      <w:r w:rsidR="0084727A">
        <w:rPr>
          <w:rFonts w:ascii="Times New Roman" w:hAnsi="Times New Roman" w:cs="Times New Roman"/>
          <w:sz w:val="24"/>
          <w:szCs w:val="24"/>
        </w:rPr>
        <w:t>.</w:t>
      </w:r>
      <w:r w:rsidRPr="0098647E">
        <w:rPr>
          <w:rFonts w:ascii="Times New Roman" w:hAnsi="Times New Roman" w:cs="Times New Roman"/>
          <w:sz w:val="24"/>
          <w:szCs w:val="24"/>
        </w:rPr>
        <w:t xml:space="preserve"> Cần thêm những nghiên cứu tiếp theo đánh giá về giá trị tiên lượng và các chiến lược điều trị mới nhằm cải thiện tiên lượng cho nhóm bệnh nhân bộ ba âm tính </w:t>
      </w:r>
      <w:r w:rsidR="00077B4C" w:rsidRPr="0098647E">
        <w:rPr>
          <w:rFonts w:ascii="Times New Roman" w:hAnsi="Times New Roman" w:cs="Times New Roman"/>
          <w:sz w:val="24"/>
          <w:szCs w:val="24"/>
        </w:rPr>
        <w:t>HER2</w:t>
      </w:r>
      <w:r w:rsidRPr="0098647E">
        <w:rPr>
          <w:rFonts w:ascii="Times New Roman" w:hAnsi="Times New Roman" w:cs="Times New Roman"/>
          <w:sz w:val="24"/>
          <w:szCs w:val="24"/>
        </w:rPr>
        <w:t>-thấp</w:t>
      </w:r>
      <w:r w:rsidR="0084727A">
        <w:rPr>
          <w:rFonts w:ascii="Times New Roman" w:hAnsi="Times New Roman" w:cs="Times New Roman"/>
          <w:sz w:val="24"/>
          <w:szCs w:val="24"/>
        </w:rPr>
        <w:t>.</w:t>
      </w:r>
    </w:p>
    <w:p w14:paraId="34BC6BF2" w14:textId="77777777" w:rsidR="006D7757" w:rsidRPr="0098647E" w:rsidRDefault="006D7757" w:rsidP="00902398">
      <w:pPr>
        <w:spacing w:after="0" w:line="360" w:lineRule="auto"/>
        <w:jc w:val="both"/>
        <w:rPr>
          <w:rFonts w:ascii="Times New Roman" w:hAnsi="Times New Roman" w:cs="Times New Roman"/>
          <w:sz w:val="24"/>
          <w:szCs w:val="24"/>
        </w:rPr>
      </w:pPr>
    </w:p>
    <w:p w14:paraId="1877427C" w14:textId="1BD09B76" w:rsidR="00321193" w:rsidRPr="0098647E" w:rsidRDefault="00902398" w:rsidP="00902398">
      <w:pPr>
        <w:spacing w:after="0" w:line="360" w:lineRule="auto"/>
        <w:jc w:val="both"/>
        <w:rPr>
          <w:rFonts w:ascii="Times New Roman" w:hAnsi="Times New Roman" w:cs="Times New Roman"/>
          <w:b/>
          <w:bCs/>
          <w:sz w:val="24"/>
          <w:szCs w:val="24"/>
        </w:rPr>
      </w:pPr>
      <w:r w:rsidRPr="0098647E">
        <w:rPr>
          <w:rFonts w:ascii="Times New Roman" w:hAnsi="Times New Roman" w:cs="Times New Roman"/>
          <w:b/>
          <w:bCs/>
          <w:sz w:val="24"/>
          <w:szCs w:val="24"/>
        </w:rPr>
        <w:t>TÀI LIỆU THAM KHẢO</w:t>
      </w:r>
    </w:p>
    <w:p w14:paraId="41F69E6F" w14:textId="11102ABE" w:rsidR="00382531" w:rsidRPr="0098647E" w:rsidRDefault="00C20424" w:rsidP="00902398">
      <w:pPr>
        <w:pStyle w:val="Bibliography"/>
        <w:spacing w:line="276" w:lineRule="auto"/>
        <w:jc w:val="both"/>
        <w:rPr>
          <w:rFonts w:ascii="Times New Roman" w:hAnsi="Times New Roman" w:cs="Times New Roman"/>
          <w:sz w:val="24"/>
          <w:szCs w:val="24"/>
        </w:rPr>
      </w:pPr>
      <w:r w:rsidRPr="0098647E">
        <w:rPr>
          <w:rFonts w:ascii="Times New Roman" w:hAnsi="Times New Roman" w:cs="Times New Roman"/>
          <w:sz w:val="24"/>
          <w:szCs w:val="24"/>
        </w:rPr>
        <w:fldChar w:fldCharType="begin"/>
      </w:r>
      <w:r w:rsidR="00382531" w:rsidRPr="0098647E">
        <w:rPr>
          <w:rFonts w:ascii="Times New Roman" w:hAnsi="Times New Roman" w:cs="Times New Roman"/>
          <w:sz w:val="24"/>
          <w:szCs w:val="24"/>
        </w:rPr>
        <w:instrText xml:space="preserve"> ADDIN ZOTERO_BIBL {"uncited":[],"omitted":[],"custom":[]} CSL_BIBLIOGRAPHY </w:instrText>
      </w:r>
      <w:r w:rsidRPr="0098647E">
        <w:rPr>
          <w:rFonts w:ascii="Times New Roman" w:hAnsi="Times New Roman" w:cs="Times New Roman"/>
          <w:sz w:val="24"/>
          <w:szCs w:val="24"/>
        </w:rPr>
        <w:fldChar w:fldCharType="separate"/>
      </w:r>
      <w:r w:rsidR="00382531" w:rsidRPr="0098647E">
        <w:rPr>
          <w:rFonts w:ascii="Times New Roman" w:hAnsi="Times New Roman" w:cs="Times New Roman"/>
          <w:sz w:val="24"/>
          <w:szCs w:val="24"/>
        </w:rPr>
        <w:t>1</w:t>
      </w:r>
      <w:r w:rsidR="0098647E">
        <w:rPr>
          <w:rFonts w:ascii="Times New Roman" w:hAnsi="Times New Roman" w:cs="Times New Roman"/>
          <w:sz w:val="24"/>
          <w:szCs w:val="24"/>
        </w:rPr>
        <w:t>,</w:t>
      </w:r>
      <w:r w:rsidR="00382531" w:rsidRPr="0098647E">
        <w:rPr>
          <w:rFonts w:ascii="Times New Roman" w:hAnsi="Times New Roman" w:cs="Times New Roman"/>
          <w:sz w:val="24"/>
          <w:szCs w:val="24"/>
        </w:rPr>
        <w:tab/>
        <w:t>Siegel RL, Miller KD, Jemal A</w:t>
      </w:r>
      <w:r w:rsidR="0098647E">
        <w:rPr>
          <w:rFonts w:ascii="Times New Roman" w:hAnsi="Times New Roman" w:cs="Times New Roman"/>
          <w:sz w:val="24"/>
          <w:szCs w:val="24"/>
        </w:rPr>
        <w:t>,</w:t>
      </w:r>
      <w:r w:rsidR="00382531" w:rsidRPr="0098647E">
        <w:rPr>
          <w:rFonts w:ascii="Times New Roman" w:hAnsi="Times New Roman" w:cs="Times New Roman"/>
          <w:sz w:val="24"/>
          <w:szCs w:val="24"/>
        </w:rPr>
        <w:t xml:space="preserve"> Cancer statistics, 2017</w:t>
      </w:r>
      <w:r w:rsidR="0098647E">
        <w:rPr>
          <w:rFonts w:ascii="Times New Roman" w:hAnsi="Times New Roman" w:cs="Times New Roman"/>
          <w:sz w:val="24"/>
          <w:szCs w:val="24"/>
        </w:rPr>
        <w:t>,</w:t>
      </w:r>
      <w:r w:rsidR="00382531" w:rsidRPr="0098647E">
        <w:rPr>
          <w:rFonts w:ascii="Times New Roman" w:hAnsi="Times New Roman" w:cs="Times New Roman"/>
          <w:sz w:val="24"/>
          <w:szCs w:val="24"/>
        </w:rPr>
        <w:t xml:space="preserve"> </w:t>
      </w:r>
      <w:r w:rsidR="00382531" w:rsidRPr="0098647E">
        <w:rPr>
          <w:rFonts w:ascii="Times New Roman" w:hAnsi="Times New Roman" w:cs="Times New Roman"/>
          <w:i/>
          <w:iCs/>
          <w:sz w:val="24"/>
          <w:szCs w:val="24"/>
        </w:rPr>
        <w:t>CA Cancer J Clin</w:t>
      </w:r>
      <w:r w:rsidR="0098647E">
        <w:rPr>
          <w:rFonts w:ascii="Times New Roman" w:hAnsi="Times New Roman" w:cs="Times New Roman"/>
          <w:sz w:val="24"/>
          <w:szCs w:val="24"/>
        </w:rPr>
        <w:t>,</w:t>
      </w:r>
      <w:r w:rsidR="00382531" w:rsidRPr="0098647E">
        <w:rPr>
          <w:rFonts w:ascii="Times New Roman" w:hAnsi="Times New Roman" w:cs="Times New Roman"/>
          <w:sz w:val="24"/>
          <w:szCs w:val="24"/>
        </w:rPr>
        <w:t xml:space="preserve"> 2017;67(1):7-30</w:t>
      </w:r>
      <w:r w:rsidR="0098647E">
        <w:rPr>
          <w:rFonts w:ascii="Times New Roman" w:hAnsi="Times New Roman" w:cs="Times New Roman"/>
          <w:sz w:val="24"/>
          <w:szCs w:val="24"/>
        </w:rPr>
        <w:t>,</w:t>
      </w:r>
      <w:r w:rsidR="00382531" w:rsidRPr="0098647E">
        <w:rPr>
          <w:rFonts w:ascii="Times New Roman" w:hAnsi="Times New Roman" w:cs="Times New Roman"/>
          <w:sz w:val="24"/>
          <w:szCs w:val="24"/>
        </w:rPr>
        <w:t xml:space="preserve"> doi:10</w:t>
      </w:r>
      <w:r w:rsidR="0098647E">
        <w:rPr>
          <w:rFonts w:ascii="Times New Roman" w:hAnsi="Times New Roman" w:cs="Times New Roman"/>
          <w:sz w:val="24"/>
          <w:szCs w:val="24"/>
        </w:rPr>
        <w:t>,</w:t>
      </w:r>
      <w:r w:rsidR="00382531" w:rsidRPr="0098647E">
        <w:rPr>
          <w:rFonts w:ascii="Times New Roman" w:hAnsi="Times New Roman" w:cs="Times New Roman"/>
          <w:sz w:val="24"/>
          <w:szCs w:val="24"/>
        </w:rPr>
        <w:t>3322/caac</w:t>
      </w:r>
      <w:r w:rsidR="0098647E">
        <w:rPr>
          <w:rFonts w:ascii="Times New Roman" w:hAnsi="Times New Roman" w:cs="Times New Roman"/>
          <w:sz w:val="24"/>
          <w:szCs w:val="24"/>
        </w:rPr>
        <w:t>,</w:t>
      </w:r>
      <w:r w:rsidR="00382531" w:rsidRPr="0098647E">
        <w:rPr>
          <w:rFonts w:ascii="Times New Roman" w:hAnsi="Times New Roman" w:cs="Times New Roman"/>
          <w:sz w:val="24"/>
          <w:szCs w:val="24"/>
        </w:rPr>
        <w:t>21387</w:t>
      </w:r>
    </w:p>
    <w:p w14:paraId="2D28EE9A" w14:textId="6398D28A" w:rsidR="00382531" w:rsidRPr="0098647E" w:rsidRDefault="00382531" w:rsidP="00902398">
      <w:pPr>
        <w:pStyle w:val="Bibliography"/>
        <w:spacing w:line="276" w:lineRule="auto"/>
        <w:jc w:val="both"/>
        <w:rPr>
          <w:rFonts w:ascii="Times New Roman" w:hAnsi="Times New Roman" w:cs="Times New Roman"/>
          <w:sz w:val="24"/>
          <w:szCs w:val="24"/>
          <w:lang w:val="fr-FR"/>
        </w:rPr>
      </w:pPr>
      <w:r w:rsidRPr="0098647E">
        <w:rPr>
          <w:rFonts w:ascii="Times New Roman" w:hAnsi="Times New Roman" w:cs="Times New Roman"/>
          <w:sz w:val="24"/>
          <w:szCs w:val="24"/>
        </w:rPr>
        <w:lastRenderedPageBreak/>
        <w:t>2</w:t>
      </w:r>
      <w:r w:rsidR="0098647E">
        <w:rPr>
          <w:rFonts w:ascii="Times New Roman" w:hAnsi="Times New Roman" w:cs="Times New Roman"/>
          <w:sz w:val="24"/>
          <w:szCs w:val="24"/>
        </w:rPr>
        <w:t>,</w:t>
      </w:r>
      <w:r w:rsidRPr="0098647E">
        <w:rPr>
          <w:rFonts w:ascii="Times New Roman" w:hAnsi="Times New Roman" w:cs="Times New Roman"/>
          <w:sz w:val="24"/>
          <w:szCs w:val="24"/>
        </w:rPr>
        <w:tab/>
        <w:t>Kim NH, Bang HW, Eom YH, Choi SH</w:t>
      </w:r>
      <w:r w:rsidR="0098647E">
        <w:rPr>
          <w:rFonts w:ascii="Times New Roman" w:hAnsi="Times New Roman" w:cs="Times New Roman"/>
          <w:sz w:val="24"/>
          <w:szCs w:val="24"/>
        </w:rPr>
        <w:t>,</w:t>
      </w:r>
      <w:r w:rsidRPr="0098647E">
        <w:rPr>
          <w:rFonts w:ascii="Times New Roman" w:hAnsi="Times New Roman" w:cs="Times New Roman"/>
          <w:sz w:val="24"/>
          <w:szCs w:val="24"/>
        </w:rPr>
        <w:t xml:space="preserve"> The different prognostic impact of age according to individual molecular subtypes in breast cancer</w:t>
      </w:r>
      <w:r w:rsidR="0098647E">
        <w:rPr>
          <w:rFonts w:ascii="Times New Roman" w:hAnsi="Times New Roman" w:cs="Times New Roman"/>
          <w:sz w:val="24"/>
          <w:szCs w:val="24"/>
        </w:rPr>
        <w:t>,</w:t>
      </w:r>
      <w:r w:rsidRPr="0098647E">
        <w:rPr>
          <w:rFonts w:ascii="Times New Roman" w:hAnsi="Times New Roman" w:cs="Times New Roman"/>
          <w:sz w:val="24"/>
          <w:szCs w:val="24"/>
        </w:rPr>
        <w:t xml:space="preserve"> </w:t>
      </w:r>
      <w:r w:rsidRPr="0098647E">
        <w:rPr>
          <w:rFonts w:ascii="Times New Roman" w:hAnsi="Times New Roman" w:cs="Times New Roman"/>
          <w:i/>
          <w:iCs/>
          <w:sz w:val="24"/>
          <w:szCs w:val="24"/>
          <w:lang w:val="fr-FR"/>
        </w:rPr>
        <w:t>Ann Surg Treat Res</w:t>
      </w:r>
      <w:r w:rsidR="0098647E">
        <w:rPr>
          <w:rFonts w:ascii="Times New Roman" w:hAnsi="Times New Roman" w:cs="Times New Roman"/>
          <w:sz w:val="24"/>
          <w:szCs w:val="24"/>
          <w:lang w:val="fr-FR"/>
        </w:rPr>
        <w:t>,</w:t>
      </w:r>
      <w:r w:rsidRPr="0098647E">
        <w:rPr>
          <w:rFonts w:ascii="Times New Roman" w:hAnsi="Times New Roman" w:cs="Times New Roman"/>
          <w:sz w:val="24"/>
          <w:szCs w:val="24"/>
          <w:lang w:val="fr-FR"/>
        </w:rPr>
        <w:t xml:space="preserve"> 2022;103(3):129-144</w:t>
      </w:r>
      <w:r w:rsidR="0098647E">
        <w:rPr>
          <w:rFonts w:ascii="Times New Roman" w:hAnsi="Times New Roman" w:cs="Times New Roman"/>
          <w:sz w:val="24"/>
          <w:szCs w:val="24"/>
          <w:lang w:val="fr-FR"/>
        </w:rPr>
        <w:t>,</w:t>
      </w:r>
      <w:r w:rsidRPr="0098647E">
        <w:rPr>
          <w:rFonts w:ascii="Times New Roman" w:hAnsi="Times New Roman" w:cs="Times New Roman"/>
          <w:sz w:val="24"/>
          <w:szCs w:val="24"/>
          <w:lang w:val="fr-FR"/>
        </w:rPr>
        <w:t xml:space="preserve"> doi:10</w:t>
      </w:r>
      <w:r w:rsidR="0098647E">
        <w:rPr>
          <w:rFonts w:ascii="Times New Roman" w:hAnsi="Times New Roman" w:cs="Times New Roman"/>
          <w:sz w:val="24"/>
          <w:szCs w:val="24"/>
          <w:lang w:val="fr-FR"/>
        </w:rPr>
        <w:t>,</w:t>
      </w:r>
      <w:r w:rsidRPr="0098647E">
        <w:rPr>
          <w:rFonts w:ascii="Times New Roman" w:hAnsi="Times New Roman" w:cs="Times New Roman"/>
          <w:sz w:val="24"/>
          <w:szCs w:val="24"/>
          <w:lang w:val="fr-FR"/>
        </w:rPr>
        <w:t>4174/astr</w:t>
      </w:r>
      <w:r w:rsidR="0098647E">
        <w:rPr>
          <w:rFonts w:ascii="Times New Roman" w:hAnsi="Times New Roman" w:cs="Times New Roman"/>
          <w:sz w:val="24"/>
          <w:szCs w:val="24"/>
          <w:lang w:val="fr-FR"/>
        </w:rPr>
        <w:t>,</w:t>
      </w:r>
      <w:r w:rsidRPr="0098647E">
        <w:rPr>
          <w:rFonts w:ascii="Times New Roman" w:hAnsi="Times New Roman" w:cs="Times New Roman"/>
          <w:sz w:val="24"/>
          <w:szCs w:val="24"/>
          <w:lang w:val="fr-FR"/>
        </w:rPr>
        <w:t>2022</w:t>
      </w:r>
      <w:r w:rsidR="0098647E">
        <w:rPr>
          <w:rFonts w:ascii="Times New Roman" w:hAnsi="Times New Roman" w:cs="Times New Roman"/>
          <w:sz w:val="24"/>
          <w:szCs w:val="24"/>
          <w:lang w:val="fr-FR"/>
        </w:rPr>
        <w:t>,</w:t>
      </w:r>
      <w:r w:rsidRPr="0098647E">
        <w:rPr>
          <w:rFonts w:ascii="Times New Roman" w:hAnsi="Times New Roman" w:cs="Times New Roman"/>
          <w:sz w:val="24"/>
          <w:szCs w:val="24"/>
          <w:lang w:val="fr-FR"/>
        </w:rPr>
        <w:t>103</w:t>
      </w:r>
      <w:r w:rsidR="0098647E">
        <w:rPr>
          <w:rFonts w:ascii="Times New Roman" w:hAnsi="Times New Roman" w:cs="Times New Roman"/>
          <w:sz w:val="24"/>
          <w:szCs w:val="24"/>
          <w:lang w:val="fr-FR"/>
        </w:rPr>
        <w:t>,</w:t>
      </w:r>
      <w:r w:rsidRPr="0098647E">
        <w:rPr>
          <w:rFonts w:ascii="Times New Roman" w:hAnsi="Times New Roman" w:cs="Times New Roman"/>
          <w:sz w:val="24"/>
          <w:szCs w:val="24"/>
          <w:lang w:val="fr-FR"/>
        </w:rPr>
        <w:t>3</w:t>
      </w:r>
      <w:r w:rsidR="0098647E">
        <w:rPr>
          <w:rFonts w:ascii="Times New Roman" w:hAnsi="Times New Roman" w:cs="Times New Roman"/>
          <w:sz w:val="24"/>
          <w:szCs w:val="24"/>
          <w:lang w:val="fr-FR"/>
        </w:rPr>
        <w:t>,</w:t>
      </w:r>
      <w:r w:rsidRPr="0098647E">
        <w:rPr>
          <w:rFonts w:ascii="Times New Roman" w:hAnsi="Times New Roman" w:cs="Times New Roman"/>
          <w:sz w:val="24"/>
          <w:szCs w:val="24"/>
          <w:lang w:val="fr-FR"/>
        </w:rPr>
        <w:t>129</w:t>
      </w:r>
    </w:p>
    <w:p w14:paraId="16566177" w14:textId="1ABE1E52" w:rsidR="00382531" w:rsidRPr="0098647E" w:rsidRDefault="00382531" w:rsidP="00902398">
      <w:pPr>
        <w:pStyle w:val="Bibliography"/>
        <w:spacing w:line="276" w:lineRule="auto"/>
        <w:jc w:val="both"/>
        <w:rPr>
          <w:rFonts w:ascii="Times New Roman" w:hAnsi="Times New Roman" w:cs="Times New Roman"/>
          <w:sz w:val="24"/>
          <w:szCs w:val="24"/>
        </w:rPr>
      </w:pPr>
      <w:r w:rsidRPr="0098647E">
        <w:rPr>
          <w:rFonts w:ascii="Times New Roman" w:hAnsi="Times New Roman" w:cs="Times New Roman"/>
          <w:sz w:val="24"/>
          <w:szCs w:val="24"/>
          <w:lang w:val="fr-FR"/>
        </w:rPr>
        <w:t>3</w:t>
      </w:r>
      <w:r w:rsidR="0098647E">
        <w:rPr>
          <w:rFonts w:ascii="Times New Roman" w:hAnsi="Times New Roman" w:cs="Times New Roman"/>
          <w:sz w:val="24"/>
          <w:szCs w:val="24"/>
          <w:lang w:val="fr-FR"/>
        </w:rPr>
        <w:t>,</w:t>
      </w:r>
      <w:r w:rsidRPr="0098647E">
        <w:rPr>
          <w:rFonts w:ascii="Times New Roman" w:hAnsi="Times New Roman" w:cs="Times New Roman"/>
          <w:sz w:val="24"/>
          <w:szCs w:val="24"/>
          <w:lang w:val="fr-FR"/>
        </w:rPr>
        <w:tab/>
        <w:t>Dent R, Trudeau M, Pritchard KI, et al</w:t>
      </w:r>
      <w:r w:rsidR="0098647E">
        <w:rPr>
          <w:rFonts w:ascii="Times New Roman" w:hAnsi="Times New Roman" w:cs="Times New Roman"/>
          <w:sz w:val="24"/>
          <w:szCs w:val="24"/>
          <w:lang w:val="fr-FR"/>
        </w:rPr>
        <w:t>,</w:t>
      </w:r>
      <w:r w:rsidRPr="0098647E">
        <w:rPr>
          <w:rFonts w:ascii="Times New Roman" w:hAnsi="Times New Roman" w:cs="Times New Roman"/>
          <w:sz w:val="24"/>
          <w:szCs w:val="24"/>
          <w:lang w:val="fr-FR"/>
        </w:rPr>
        <w:t xml:space="preserve"> </w:t>
      </w:r>
      <w:r w:rsidRPr="0098647E">
        <w:rPr>
          <w:rFonts w:ascii="Times New Roman" w:hAnsi="Times New Roman" w:cs="Times New Roman"/>
          <w:sz w:val="24"/>
          <w:szCs w:val="24"/>
        </w:rPr>
        <w:t>Triple-Negative Breast Cancer: Clinical Features and Patterns of Recurrence</w:t>
      </w:r>
      <w:r w:rsidR="0098647E">
        <w:rPr>
          <w:rFonts w:ascii="Times New Roman" w:hAnsi="Times New Roman" w:cs="Times New Roman"/>
          <w:sz w:val="24"/>
          <w:szCs w:val="24"/>
        </w:rPr>
        <w:t>,</w:t>
      </w:r>
      <w:r w:rsidRPr="0098647E">
        <w:rPr>
          <w:rFonts w:ascii="Times New Roman" w:hAnsi="Times New Roman" w:cs="Times New Roman"/>
          <w:sz w:val="24"/>
          <w:szCs w:val="24"/>
        </w:rPr>
        <w:t xml:space="preserve"> </w:t>
      </w:r>
      <w:r w:rsidRPr="0098647E">
        <w:rPr>
          <w:rFonts w:ascii="Times New Roman" w:hAnsi="Times New Roman" w:cs="Times New Roman"/>
          <w:i/>
          <w:iCs/>
          <w:sz w:val="24"/>
          <w:szCs w:val="24"/>
        </w:rPr>
        <w:t>Clin Cancer Res</w:t>
      </w:r>
      <w:r w:rsidR="0098647E">
        <w:rPr>
          <w:rFonts w:ascii="Times New Roman" w:hAnsi="Times New Roman" w:cs="Times New Roman"/>
          <w:sz w:val="24"/>
          <w:szCs w:val="24"/>
        </w:rPr>
        <w:t>,</w:t>
      </w:r>
      <w:r w:rsidRPr="0098647E">
        <w:rPr>
          <w:rFonts w:ascii="Times New Roman" w:hAnsi="Times New Roman" w:cs="Times New Roman"/>
          <w:sz w:val="24"/>
          <w:szCs w:val="24"/>
        </w:rPr>
        <w:t xml:space="preserve"> 2007;13(15):4429-4434</w:t>
      </w:r>
      <w:r w:rsidR="0098647E">
        <w:rPr>
          <w:rFonts w:ascii="Times New Roman" w:hAnsi="Times New Roman" w:cs="Times New Roman"/>
          <w:sz w:val="24"/>
          <w:szCs w:val="24"/>
        </w:rPr>
        <w:t>,</w:t>
      </w:r>
      <w:r w:rsidRPr="0098647E">
        <w:rPr>
          <w:rFonts w:ascii="Times New Roman" w:hAnsi="Times New Roman" w:cs="Times New Roman"/>
          <w:sz w:val="24"/>
          <w:szCs w:val="24"/>
        </w:rPr>
        <w:t xml:space="preserve"> doi:10</w:t>
      </w:r>
      <w:r w:rsidR="0098647E">
        <w:rPr>
          <w:rFonts w:ascii="Times New Roman" w:hAnsi="Times New Roman" w:cs="Times New Roman"/>
          <w:sz w:val="24"/>
          <w:szCs w:val="24"/>
        </w:rPr>
        <w:t>,</w:t>
      </w:r>
      <w:r w:rsidRPr="0098647E">
        <w:rPr>
          <w:rFonts w:ascii="Times New Roman" w:hAnsi="Times New Roman" w:cs="Times New Roman"/>
          <w:sz w:val="24"/>
          <w:szCs w:val="24"/>
        </w:rPr>
        <w:t>1158/1078-0432</w:t>
      </w:r>
      <w:r w:rsidR="0098647E">
        <w:rPr>
          <w:rFonts w:ascii="Times New Roman" w:hAnsi="Times New Roman" w:cs="Times New Roman"/>
          <w:sz w:val="24"/>
          <w:szCs w:val="24"/>
        </w:rPr>
        <w:t>,</w:t>
      </w:r>
      <w:r w:rsidRPr="0098647E">
        <w:rPr>
          <w:rFonts w:ascii="Times New Roman" w:hAnsi="Times New Roman" w:cs="Times New Roman"/>
          <w:sz w:val="24"/>
          <w:szCs w:val="24"/>
        </w:rPr>
        <w:t>CCR-06-3045</w:t>
      </w:r>
    </w:p>
    <w:p w14:paraId="0AE5CBB4" w14:textId="3F0892F6" w:rsidR="00382531" w:rsidRPr="0098647E" w:rsidRDefault="00382531" w:rsidP="00902398">
      <w:pPr>
        <w:pStyle w:val="Bibliography"/>
        <w:spacing w:line="276" w:lineRule="auto"/>
        <w:jc w:val="both"/>
        <w:rPr>
          <w:rFonts w:ascii="Times New Roman" w:hAnsi="Times New Roman" w:cs="Times New Roman"/>
          <w:sz w:val="24"/>
          <w:szCs w:val="24"/>
        </w:rPr>
      </w:pPr>
      <w:r w:rsidRPr="0098647E">
        <w:rPr>
          <w:rFonts w:ascii="Times New Roman" w:hAnsi="Times New Roman" w:cs="Times New Roman"/>
          <w:sz w:val="24"/>
          <w:szCs w:val="24"/>
        </w:rPr>
        <w:t>4</w:t>
      </w:r>
      <w:r w:rsidR="0098647E">
        <w:rPr>
          <w:rFonts w:ascii="Times New Roman" w:hAnsi="Times New Roman" w:cs="Times New Roman"/>
          <w:sz w:val="24"/>
          <w:szCs w:val="24"/>
        </w:rPr>
        <w:t>,</w:t>
      </w:r>
      <w:r w:rsidRPr="0098647E">
        <w:rPr>
          <w:rFonts w:ascii="Times New Roman" w:hAnsi="Times New Roman" w:cs="Times New Roman"/>
          <w:sz w:val="24"/>
          <w:szCs w:val="24"/>
        </w:rPr>
        <w:tab/>
        <w:t>Cardoso F, Kyriakides S, Ohno S, et al</w:t>
      </w:r>
      <w:r w:rsidR="0098647E">
        <w:rPr>
          <w:rFonts w:ascii="Times New Roman" w:hAnsi="Times New Roman" w:cs="Times New Roman"/>
          <w:sz w:val="24"/>
          <w:szCs w:val="24"/>
        </w:rPr>
        <w:t>,</w:t>
      </w:r>
      <w:r w:rsidRPr="0098647E">
        <w:rPr>
          <w:rFonts w:ascii="Times New Roman" w:hAnsi="Times New Roman" w:cs="Times New Roman"/>
          <w:sz w:val="24"/>
          <w:szCs w:val="24"/>
        </w:rPr>
        <w:t xml:space="preserve"> Early breast cancer: ESMO Clinical Practice Guidelines for diagnosis, treatment and follow-up†</w:t>
      </w:r>
      <w:r w:rsidR="0098647E">
        <w:rPr>
          <w:rFonts w:ascii="Times New Roman" w:hAnsi="Times New Roman" w:cs="Times New Roman"/>
          <w:sz w:val="24"/>
          <w:szCs w:val="24"/>
        </w:rPr>
        <w:t>,</w:t>
      </w:r>
      <w:r w:rsidRPr="0098647E">
        <w:rPr>
          <w:rFonts w:ascii="Times New Roman" w:hAnsi="Times New Roman" w:cs="Times New Roman"/>
          <w:sz w:val="24"/>
          <w:szCs w:val="24"/>
        </w:rPr>
        <w:t xml:space="preserve"> </w:t>
      </w:r>
      <w:r w:rsidRPr="0098647E">
        <w:rPr>
          <w:rFonts w:ascii="Times New Roman" w:hAnsi="Times New Roman" w:cs="Times New Roman"/>
          <w:i/>
          <w:iCs/>
          <w:sz w:val="24"/>
          <w:szCs w:val="24"/>
        </w:rPr>
        <w:t>Ann Oncol</w:t>
      </w:r>
      <w:r w:rsidR="0098647E">
        <w:rPr>
          <w:rFonts w:ascii="Times New Roman" w:hAnsi="Times New Roman" w:cs="Times New Roman"/>
          <w:sz w:val="24"/>
          <w:szCs w:val="24"/>
        </w:rPr>
        <w:t>,</w:t>
      </w:r>
      <w:r w:rsidRPr="0098647E">
        <w:rPr>
          <w:rFonts w:ascii="Times New Roman" w:hAnsi="Times New Roman" w:cs="Times New Roman"/>
          <w:sz w:val="24"/>
          <w:szCs w:val="24"/>
        </w:rPr>
        <w:t xml:space="preserve"> 2019;30(8):1194-1220</w:t>
      </w:r>
      <w:r w:rsidR="0098647E">
        <w:rPr>
          <w:rFonts w:ascii="Times New Roman" w:hAnsi="Times New Roman" w:cs="Times New Roman"/>
          <w:sz w:val="24"/>
          <w:szCs w:val="24"/>
        </w:rPr>
        <w:t>,</w:t>
      </w:r>
      <w:r w:rsidRPr="0098647E">
        <w:rPr>
          <w:rFonts w:ascii="Times New Roman" w:hAnsi="Times New Roman" w:cs="Times New Roman"/>
          <w:sz w:val="24"/>
          <w:szCs w:val="24"/>
        </w:rPr>
        <w:t xml:space="preserve"> doi:10</w:t>
      </w:r>
      <w:r w:rsidR="0098647E">
        <w:rPr>
          <w:rFonts w:ascii="Times New Roman" w:hAnsi="Times New Roman" w:cs="Times New Roman"/>
          <w:sz w:val="24"/>
          <w:szCs w:val="24"/>
        </w:rPr>
        <w:t>,</w:t>
      </w:r>
      <w:r w:rsidRPr="0098647E">
        <w:rPr>
          <w:rFonts w:ascii="Times New Roman" w:hAnsi="Times New Roman" w:cs="Times New Roman"/>
          <w:sz w:val="24"/>
          <w:szCs w:val="24"/>
        </w:rPr>
        <w:t>1093/annonc/mdz173</w:t>
      </w:r>
    </w:p>
    <w:p w14:paraId="2CC47815" w14:textId="1E61FDAC" w:rsidR="00382531" w:rsidRPr="0098647E" w:rsidRDefault="00382531" w:rsidP="00902398">
      <w:pPr>
        <w:pStyle w:val="Bibliography"/>
        <w:spacing w:line="276" w:lineRule="auto"/>
        <w:jc w:val="both"/>
        <w:rPr>
          <w:rFonts w:ascii="Times New Roman" w:hAnsi="Times New Roman" w:cs="Times New Roman"/>
          <w:sz w:val="24"/>
          <w:szCs w:val="24"/>
        </w:rPr>
      </w:pPr>
      <w:r w:rsidRPr="0098647E">
        <w:rPr>
          <w:rFonts w:ascii="Times New Roman" w:hAnsi="Times New Roman" w:cs="Times New Roman"/>
          <w:sz w:val="24"/>
          <w:szCs w:val="24"/>
        </w:rPr>
        <w:t>5</w:t>
      </w:r>
      <w:r w:rsidR="0098647E">
        <w:rPr>
          <w:rFonts w:ascii="Times New Roman" w:hAnsi="Times New Roman" w:cs="Times New Roman"/>
          <w:sz w:val="24"/>
          <w:szCs w:val="24"/>
        </w:rPr>
        <w:t>,</w:t>
      </w:r>
      <w:r w:rsidRPr="0098647E">
        <w:rPr>
          <w:rFonts w:ascii="Times New Roman" w:hAnsi="Times New Roman" w:cs="Times New Roman"/>
          <w:sz w:val="24"/>
          <w:szCs w:val="24"/>
        </w:rPr>
        <w:tab/>
        <w:t>Almstedt K, Heimes AS, Kappenberg F, et al</w:t>
      </w:r>
      <w:r w:rsidR="0098647E">
        <w:rPr>
          <w:rFonts w:ascii="Times New Roman" w:hAnsi="Times New Roman" w:cs="Times New Roman"/>
          <w:sz w:val="24"/>
          <w:szCs w:val="24"/>
        </w:rPr>
        <w:t>,</w:t>
      </w:r>
      <w:r w:rsidRPr="0098647E">
        <w:rPr>
          <w:rFonts w:ascii="Times New Roman" w:hAnsi="Times New Roman" w:cs="Times New Roman"/>
          <w:sz w:val="24"/>
          <w:szCs w:val="24"/>
        </w:rPr>
        <w:t xml:space="preserve"> Long-term prognostic significance of </w:t>
      </w:r>
      <w:r w:rsidR="00077B4C" w:rsidRPr="0098647E">
        <w:rPr>
          <w:rFonts w:ascii="Times New Roman" w:hAnsi="Times New Roman" w:cs="Times New Roman"/>
          <w:sz w:val="24"/>
          <w:szCs w:val="24"/>
        </w:rPr>
        <w:t>HER2</w:t>
      </w:r>
      <w:r w:rsidRPr="0098647E">
        <w:rPr>
          <w:rFonts w:ascii="Times New Roman" w:hAnsi="Times New Roman" w:cs="Times New Roman"/>
          <w:sz w:val="24"/>
          <w:szCs w:val="24"/>
        </w:rPr>
        <w:t xml:space="preserve">-low and </w:t>
      </w:r>
      <w:r w:rsidR="00077B4C" w:rsidRPr="0098647E">
        <w:rPr>
          <w:rFonts w:ascii="Times New Roman" w:hAnsi="Times New Roman" w:cs="Times New Roman"/>
          <w:sz w:val="24"/>
          <w:szCs w:val="24"/>
        </w:rPr>
        <w:t>HER2</w:t>
      </w:r>
      <w:r w:rsidRPr="0098647E">
        <w:rPr>
          <w:rFonts w:ascii="Times New Roman" w:hAnsi="Times New Roman" w:cs="Times New Roman"/>
          <w:sz w:val="24"/>
          <w:szCs w:val="24"/>
        </w:rPr>
        <w:t>-zero in node-negative breast cancer</w:t>
      </w:r>
      <w:r w:rsidR="0098647E">
        <w:rPr>
          <w:rFonts w:ascii="Times New Roman" w:hAnsi="Times New Roman" w:cs="Times New Roman"/>
          <w:sz w:val="24"/>
          <w:szCs w:val="24"/>
        </w:rPr>
        <w:t>,</w:t>
      </w:r>
      <w:r w:rsidRPr="0098647E">
        <w:rPr>
          <w:rFonts w:ascii="Times New Roman" w:hAnsi="Times New Roman" w:cs="Times New Roman"/>
          <w:sz w:val="24"/>
          <w:szCs w:val="24"/>
        </w:rPr>
        <w:t xml:space="preserve"> </w:t>
      </w:r>
      <w:r w:rsidRPr="0098647E">
        <w:rPr>
          <w:rFonts w:ascii="Times New Roman" w:hAnsi="Times New Roman" w:cs="Times New Roman"/>
          <w:i/>
          <w:iCs/>
          <w:sz w:val="24"/>
          <w:szCs w:val="24"/>
        </w:rPr>
        <w:t>Eur J Cancer Oxf Engl 1990</w:t>
      </w:r>
      <w:r w:rsidR="0098647E">
        <w:rPr>
          <w:rFonts w:ascii="Times New Roman" w:hAnsi="Times New Roman" w:cs="Times New Roman"/>
          <w:sz w:val="24"/>
          <w:szCs w:val="24"/>
        </w:rPr>
        <w:t>,</w:t>
      </w:r>
      <w:r w:rsidRPr="0098647E">
        <w:rPr>
          <w:rFonts w:ascii="Times New Roman" w:hAnsi="Times New Roman" w:cs="Times New Roman"/>
          <w:sz w:val="24"/>
          <w:szCs w:val="24"/>
        </w:rPr>
        <w:t xml:space="preserve"> 2022;173:10-19</w:t>
      </w:r>
      <w:r w:rsidR="0098647E">
        <w:rPr>
          <w:rFonts w:ascii="Times New Roman" w:hAnsi="Times New Roman" w:cs="Times New Roman"/>
          <w:sz w:val="24"/>
          <w:szCs w:val="24"/>
        </w:rPr>
        <w:t>,</w:t>
      </w:r>
      <w:r w:rsidRPr="0098647E">
        <w:rPr>
          <w:rFonts w:ascii="Times New Roman" w:hAnsi="Times New Roman" w:cs="Times New Roman"/>
          <w:sz w:val="24"/>
          <w:szCs w:val="24"/>
        </w:rPr>
        <w:t xml:space="preserve"> doi:10</w:t>
      </w:r>
      <w:r w:rsidR="0098647E">
        <w:rPr>
          <w:rFonts w:ascii="Times New Roman" w:hAnsi="Times New Roman" w:cs="Times New Roman"/>
          <w:sz w:val="24"/>
          <w:szCs w:val="24"/>
        </w:rPr>
        <w:t>,</w:t>
      </w:r>
      <w:r w:rsidRPr="0098647E">
        <w:rPr>
          <w:rFonts w:ascii="Times New Roman" w:hAnsi="Times New Roman" w:cs="Times New Roman"/>
          <w:sz w:val="24"/>
          <w:szCs w:val="24"/>
        </w:rPr>
        <w:t>1016/j</w:t>
      </w:r>
      <w:r w:rsidR="0098647E">
        <w:rPr>
          <w:rFonts w:ascii="Times New Roman" w:hAnsi="Times New Roman" w:cs="Times New Roman"/>
          <w:sz w:val="24"/>
          <w:szCs w:val="24"/>
        </w:rPr>
        <w:t>,</w:t>
      </w:r>
      <w:r w:rsidRPr="0098647E">
        <w:rPr>
          <w:rFonts w:ascii="Times New Roman" w:hAnsi="Times New Roman" w:cs="Times New Roman"/>
          <w:sz w:val="24"/>
          <w:szCs w:val="24"/>
        </w:rPr>
        <w:t>ejca</w:t>
      </w:r>
      <w:r w:rsidR="0098647E">
        <w:rPr>
          <w:rFonts w:ascii="Times New Roman" w:hAnsi="Times New Roman" w:cs="Times New Roman"/>
          <w:sz w:val="24"/>
          <w:szCs w:val="24"/>
        </w:rPr>
        <w:t>,</w:t>
      </w:r>
      <w:r w:rsidRPr="0098647E">
        <w:rPr>
          <w:rFonts w:ascii="Times New Roman" w:hAnsi="Times New Roman" w:cs="Times New Roman"/>
          <w:sz w:val="24"/>
          <w:szCs w:val="24"/>
        </w:rPr>
        <w:t>2022</w:t>
      </w:r>
      <w:r w:rsidR="0098647E">
        <w:rPr>
          <w:rFonts w:ascii="Times New Roman" w:hAnsi="Times New Roman" w:cs="Times New Roman"/>
          <w:sz w:val="24"/>
          <w:szCs w:val="24"/>
        </w:rPr>
        <w:t>,</w:t>
      </w:r>
      <w:r w:rsidRPr="0098647E">
        <w:rPr>
          <w:rFonts w:ascii="Times New Roman" w:hAnsi="Times New Roman" w:cs="Times New Roman"/>
          <w:sz w:val="24"/>
          <w:szCs w:val="24"/>
        </w:rPr>
        <w:t>06</w:t>
      </w:r>
      <w:r w:rsidR="0098647E">
        <w:rPr>
          <w:rFonts w:ascii="Times New Roman" w:hAnsi="Times New Roman" w:cs="Times New Roman"/>
          <w:sz w:val="24"/>
          <w:szCs w:val="24"/>
        </w:rPr>
        <w:t>,</w:t>
      </w:r>
      <w:r w:rsidRPr="0098647E">
        <w:rPr>
          <w:rFonts w:ascii="Times New Roman" w:hAnsi="Times New Roman" w:cs="Times New Roman"/>
          <w:sz w:val="24"/>
          <w:szCs w:val="24"/>
        </w:rPr>
        <w:t>012</w:t>
      </w:r>
    </w:p>
    <w:p w14:paraId="083F803E" w14:textId="0E256A2F" w:rsidR="00382531" w:rsidRPr="0098647E" w:rsidRDefault="00382531" w:rsidP="00902398">
      <w:pPr>
        <w:pStyle w:val="Bibliography"/>
        <w:spacing w:line="276" w:lineRule="auto"/>
        <w:jc w:val="both"/>
        <w:rPr>
          <w:rFonts w:ascii="Times New Roman" w:hAnsi="Times New Roman" w:cs="Times New Roman"/>
          <w:sz w:val="24"/>
          <w:szCs w:val="24"/>
        </w:rPr>
      </w:pPr>
      <w:r w:rsidRPr="0098647E">
        <w:rPr>
          <w:rFonts w:ascii="Times New Roman" w:hAnsi="Times New Roman" w:cs="Times New Roman"/>
          <w:sz w:val="24"/>
          <w:szCs w:val="24"/>
        </w:rPr>
        <w:t>6</w:t>
      </w:r>
      <w:r w:rsidR="0098647E">
        <w:rPr>
          <w:rFonts w:ascii="Times New Roman" w:hAnsi="Times New Roman" w:cs="Times New Roman"/>
          <w:sz w:val="24"/>
          <w:szCs w:val="24"/>
        </w:rPr>
        <w:t>,</w:t>
      </w:r>
      <w:r w:rsidRPr="0098647E">
        <w:rPr>
          <w:rFonts w:ascii="Times New Roman" w:hAnsi="Times New Roman" w:cs="Times New Roman"/>
          <w:sz w:val="24"/>
          <w:szCs w:val="24"/>
        </w:rPr>
        <w:tab/>
        <w:t xml:space="preserve">Trastuzumab Deruxtecan in Previously Treated </w:t>
      </w:r>
      <w:r w:rsidR="00077B4C" w:rsidRPr="0098647E">
        <w:rPr>
          <w:rFonts w:ascii="Times New Roman" w:hAnsi="Times New Roman" w:cs="Times New Roman"/>
          <w:sz w:val="24"/>
          <w:szCs w:val="24"/>
        </w:rPr>
        <w:t>HER2</w:t>
      </w:r>
      <w:r w:rsidRPr="0098647E">
        <w:rPr>
          <w:rFonts w:ascii="Times New Roman" w:hAnsi="Times New Roman" w:cs="Times New Roman"/>
          <w:sz w:val="24"/>
          <w:szCs w:val="24"/>
        </w:rPr>
        <w:t>-Low Advanced Breast Cancer | New England Journal of Medicine</w:t>
      </w:r>
      <w:r w:rsidR="0098647E">
        <w:rPr>
          <w:rFonts w:ascii="Times New Roman" w:hAnsi="Times New Roman" w:cs="Times New Roman"/>
          <w:sz w:val="24"/>
          <w:szCs w:val="24"/>
        </w:rPr>
        <w:t>,</w:t>
      </w:r>
      <w:r w:rsidRPr="0098647E">
        <w:rPr>
          <w:rFonts w:ascii="Times New Roman" w:hAnsi="Times New Roman" w:cs="Times New Roman"/>
          <w:sz w:val="24"/>
          <w:szCs w:val="24"/>
        </w:rPr>
        <w:t xml:space="preserve"> Accessed July 27, 2024</w:t>
      </w:r>
      <w:r w:rsidR="0098647E">
        <w:rPr>
          <w:rFonts w:ascii="Times New Roman" w:hAnsi="Times New Roman" w:cs="Times New Roman"/>
          <w:sz w:val="24"/>
          <w:szCs w:val="24"/>
        </w:rPr>
        <w:t>,</w:t>
      </w:r>
      <w:r w:rsidRPr="0098647E">
        <w:rPr>
          <w:rFonts w:ascii="Times New Roman" w:hAnsi="Times New Roman" w:cs="Times New Roman"/>
          <w:sz w:val="24"/>
          <w:szCs w:val="24"/>
        </w:rPr>
        <w:t xml:space="preserve"> https://www</w:t>
      </w:r>
      <w:r w:rsidR="0098647E">
        <w:rPr>
          <w:rFonts w:ascii="Times New Roman" w:hAnsi="Times New Roman" w:cs="Times New Roman"/>
          <w:sz w:val="24"/>
          <w:szCs w:val="24"/>
        </w:rPr>
        <w:t>,</w:t>
      </w:r>
      <w:r w:rsidRPr="0098647E">
        <w:rPr>
          <w:rFonts w:ascii="Times New Roman" w:hAnsi="Times New Roman" w:cs="Times New Roman"/>
          <w:sz w:val="24"/>
          <w:szCs w:val="24"/>
        </w:rPr>
        <w:t>nejm</w:t>
      </w:r>
      <w:r w:rsidR="0098647E">
        <w:rPr>
          <w:rFonts w:ascii="Times New Roman" w:hAnsi="Times New Roman" w:cs="Times New Roman"/>
          <w:sz w:val="24"/>
          <w:szCs w:val="24"/>
        </w:rPr>
        <w:t>,</w:t>
      </w:r>
      <w:r w:rsidRPr="0098647E">
        <w:rPr>
          <w:rFonts w:ascii="Times New Roman" w:hAnsi="Times New Roman" w:cs="Times New Roman"/>
          <w:sz w:val="24"/>
          <w:szCs w:val="24"/>
        </w:rPr>
        <w:t>org/doi/full/10</w:t>
      </w:r>
      <w:r w:rsidR="0098647E">
        <w:rPr>
          <w:rFonts w:ascii="Times New Roman" w:hAnsi="Times New Roman" w:cs="Times New Roman"/>
          <w:sz w:val="24"/>
          <w:szCs w:val="24"/>
        </w:rPr>
        <w:t>,</w:t>
      </w:r>
      <w:r w:rsidRPr="0098647E">
        <w:rPr>
          <w:rFonts w:ascii="Times New Roman" w:hAnsi="Times New Roman" w:cs="Times New Roman"/>
          <w:sz w:val="24"/>
          <w:szCs w:val="24"/>
        </w:rPr>
        <w:t>1056/NEJMoa2203690</w:t>
      </w:r>
    </w:p>
    <w:p w14:paraId="0727905C" w14:textId="0E9907B5" w:rsidR="00382531" w:rsidRPr="0098647E" w:rsidRDefault="00382531" w:rsidP="00902398">
      <w:pPr>
        <w:pStyle w:val="Bibliography"/>
        <w:spacing w:line="276" w:lineRule="auto"/>
        <w:jc w:val="both"/>
        <w:rPr>
          <w:rFonts w:ascii="Times New Roman" w:hAnsi="Times New Roman" w:cs="Times New Roman"/>
          <w:sz w:val="24"/>
          <w:szCs w:val="24"/>
          <w:lang w:val="fr-FR"/>
        </w:rPr>
      </w:pPr>
      <w:r w:rsidRPr="0098647E">
        <w:rPr>
          <w:rFonts w:ascii="Times New Roman" w:hAnsi="Times New Roman" w:cs="Times New Roman"/>
          <w:sz w:val="24"/>
          <w:szCs w:val="24"/>
        </w:rPr>
        <w:t>7</w:t>
      </w:r>
      <w:r w:rsidR="0098647E">
        <w:rPr>
          <w:rFonts w:ascii="Times New Roman" w:hAnsi="Times New Roman" w:cs="Times New Roman"/>
          <w:sz w:val="24"/>
          <w:szCs w:val="24"/>
        </w:rPr>
        <w:t>,</w:t>
      </w:r>
      <w:r w:rsidRPr="0098647E">
        <w:rPr>
          <w:rFonts w:ascii="Times New Roman" w:hAnsi="Times New Roman" w:cs="Times New Roman"/>
          <w:sz w:val="24"/>
          <w:szCs w:val="24"/>
        </w:rPr>
        <w:tab/>
        <w:t>Savas P, Salgado R, Denkert C, et al</w:t>
      </w:r>
      <w:r w:rsidR="0098647E">
        <w:rPr>
          <w:rFonts w:ascii="Times New Roman" w:hAnsi="Times New Roman" w:cs="Times New Roman"/>
          <w:sz w:val="24"/>
          <w:szCs w:val="24"/>
        </w:rPr>
        <w:t>,</w:t>
      </w:r>
      <w:r w:rsidRPr="0098647E">
        <w:rPr>
          <w:rFonts w:ascii="Times New Roman" w:hAnsi="Times New Roman" w:cs="Times New Roman"/>
          <w:sz w:val="24"/>
          <w:szCs w:val="24"/>
        </w:rPr>
        <w:t xml:space="preserve"> Clinical relevance of host immunity in breast cancer: from TILs to the clinic</w:t>
      </w:r>
      <w:r w:rsidR="0098647E">
        <w:rPr>
          <w:rFonts w:ascii="Times New Roman" w:hAnsi="Times New Roman" w:cs="Times New Roman"/>
          <w:sz w:val="24"/>
          <w:szCs w:val="24"/>
        </w:rPr>
        <w:t>,</w:t>
      </w:r>
      <w:r w:rsidRPr="0098647E">
        <w:rPr>
          <w:rFonts w:ascii="Times New Roman" w:hAnsi="Times New Roman" w:cs="Times New Roman"/>
          <w:sz w:val="24"/>
          <w:szCs w:val="24"/>
        </w:rPr>
        <w:t xml:space="preserve"> </w:t>
      </w:r>
      <w:r w:rsidRPr="0098647E">
        <w:rPr>
          <w:rFonts w:ascii="Times New Roman" w:hAnsi="Times New Roman" w:cs="Times New Roman"/>
          <w:i/>
          <w:iCs/>
          <w:sz w:val="24"/>
          <w:szCs w:val="24"/>
          <w:lang w:val="fr-FR"/>
        </w:rPr>
        <w:t>Nat Rev Clin Oncol</w:t>
      </w:r>
      <w:r w:rsidR="0098647E">
        <w:rPr>
          <w:rFonts w:ascii="Times New Roman" w:hAnsi="Times New Roman" w:cs="Times New Roman"/>
          <w:sz w:val="24"/>
          <w:szCs w:val="24"/>
          <w:lang w:val="fr-FR"/>
        </w:rPr>
        <w:t>,</w:t>
      </w:r>
      <w:r w:rsidRPr="0098647E">
        <w:rPr>
          <w:rFonts w:ascii="Times New Roman" w:hAnsi="Times New Roman" w:cs="Times New Roman"/>
          <w:sz w:val="24"/>
          <w:szCs w:val="24"/>
          <w:lang w:val="fr-FR"/>
        </w:rPr>
        <w:t xml:space="preserve"> 2016;13(4):228-241</w:t>
      </w:r>
      <w:r w:rsidR="0098647E">
        <w:rPr>
          <w:rFonts w:ascii="Times New Roman" w:hAnsi="Times New Roman" w:cs="Times New Roman"/>
          <w:sz w:val="24"/>
          <w:szCs w:val="24"/>
          <w:lang w:val="fr-FR"/>
        </w:rPr>
        <w:t>,</w:t>
      </w:r>
      <w:r w:rsidRPr="0098647E">
        <w:rPr>
          <w:rFonts w:ascii="Times New Roman" w:hAnsi="Times New Roman" w:cs="Times New Roman"/>
          <w:sz w:val="24"/>
          <w:szCs w:val="24"/>
          <w:lang w:val="fr-FR"/>
        </w:rPr>
        <w:t xml:space="preserve"> doi:10</w:t>
      </w:r>
      <w:r w:rsidR="0098647E">
        <w:rPr>
          <w:rFonts w:ascii="Times New Roman" w:hAnsi="Times New Roman" w:cs="Times New Roman"/>
          <w:sz w:val="24"/>
          <w:szCs w:val="24"/>
          <w:lang w:val="fr-FR"/>
        </w:rPr>
        <w:t>,</w:t>
      </w:r>
      <w:r w:rsidRPr="0098647E">
        <w:rPr>
          <w:rFonts w:ascii="Times New Roman" w:hAnsi="Times New Roman" w:cs="Times New Roman"/>
          <w:sz w:val="24"/>
          <w:szCs w:val="24"/>
          <w:lang w:val="fr-FR"/>
        </w:rPr>
        <w:t>1038/nrclinonc</w:t>
      </w:r>
      <w:r w:rsidR="0098647E">
        <w:rPr>
          <w:rFonts w:ascii="Times New Roman" w:hAnsi="Times New Roman" w:cs="Times New Roman"/>
          <w:sz w:val="24"/>
          <w:szCs w:val="24"/>
          <w:lang w:val="fr-FR"/>
        </w:rPr>
        <w:t>,</w:t>
      </w:r>
      <w:r w:rsidRPr="0098647E">
        <w:rPr>
          <w:rFonts w:ascii="Times New Roman" w:hAnsi="Times New Roman" w:cs="Times New Roman"/>
          <w:sz w:val="24"/>
          <w:szCs w:val="24"/>
          <w:lang w:val="fr-FR"/>
        </w:rPr>
        <w:t>2015</w:t>
      </w:r>
      <w:r w:rsidR="0098647E">
        <w:rPr>
          <w:rFonts w:ascii="Times New Roman" w:hAnsi="Times New Roman" w:cs="Times New Roman"/>
          <w:sz w:val="24"/>
          <w:szCs w:val="24"/>
          <w:lang w:val="fr-FR"/>
        </w:rPr>
        <w:t>,</w:t>
      </w:r>
      <w:r w:rsidRPr="0098647E">
        <w:rPr>
          <w:rFonts w:ascii="Times New Roman" w:hAnsi="Times New Roman" w:cs="Times New Roman"/>
          <w:sz w:val="24"/>
          <w:szCs w:val="24"/>
          <w:lang w:val="fr-FR"/>
        </w:rPr>
        <w:t>215</w:t>
      </w:r>
    </w:p>
    <w:p w14:paraId="13D9D7FD" w14:textId="10D88996" w:rsidR="00382531" w:rsidRPr="0098647E" w:rsidRDefault="00382531" w:rsidP="00902398">
      <w:pPr>
        <w:pStyle w:val="Bibliography"/>
        <w:spacing w:line="276" w:lineRule="auto"/>
        <w:jc w:val="both"/>
        <w:rPr>
          <w:rFonts w:ascii="Times New Roman" w:hAnsi="Times New Roman" w:cs="Times New Roman"/>
          <w:sz w:val="24"/>
          <w:szCs w:val="24"/>
        </w:rPr>
      </w:pPr>
      <w:r w:rsidRPr="0098647E">
        <w:rPr>
          <w:rFonts w:ascii="Times New Roman" w:hAnsi="Times New Roman" w:cs="Times New Roman"/>
          <w:sz w:val="24"/>
          <w:szCs w:val="24"/>
          <w:lang w:val="fr-FR"/>
        </w:rPr>
        <w:t>8</w:t>
      </w:r>
      <w:r w:rsidR="0098647E">
        <w:rPr>
          <w:rFonts w:ascii="Times New Roman" w:hAnsi="Times New Roman" w:cs="Times New Roman"/>
          <w:sz w:val="24"/>
          <w:szCs w:val="24"/>
          <w:lang w:val="fr-FR"/>
        </w:rPr>
        <w:t>,</w:t>
      </w:r>
      <w:r w:rsidRPr="0098647E">
        <w:rPr>
          <w:rFonts w:ascii="Times New Roman" w:hAnsi="Times New Roman" w:cs="Times New Roman"/>
          <w:sz w:val="24"/>
          <w:szCs w:val="24"/>
          <w:lang w:val="fr-FR"/>
        </w:rPr>
        <w:tab/>
        <w:t>Sanomachi T, Okuma HS, Kitadai R, et al</w:t>
      </w:r>
      <w:r w:rsidR="0098647E">
        <w:rPr>
          <w:rFonts w:ascii="Times New Roman" w:hAnsi="Times New Roman" w:cs="Times New Roman"/>
          <w:sz w:val="24"/>
          <w:szCs w:val="24"/>
          <w:lang w:val="fr-FR"/>
        </w:rPr>
        <w:t>,</w:t>
      </w:r>
      <w:r w:rsidRPr="0098647E">
        <w:rPr>
          <w:rFonts w:ascii="Times New Roman" w:hAnsi="Times New Roman" w:cs="Times New Roman"/>
          <w:sz w:val="24"/>
          <w:szCs w:val="24"/>
          <w:lang w:val="fr-FR"/>
        </w:rPr>
        <w:t xml:space="preserve"> </w:t>
      </w:r>
      <w:r w:rsidRPr="0098647E">
        <w:rPr>
          <w:rFonts w:ascii="Times New Roman" w:hAnsi="Times New Roman" w:cs="Times New Roman"/>
          <w:sz w:val="24"/>
          <w:szCs w:val="24"/>
        </w:rPr>
        <w:t xml:space="preserve">Low </w:t>
      </w:r>
      <w:r w:rsidR="00077B4C" w:rsidRPr="0098647E">
        <w:rPr>
          <w:rFonts w:ascii="Times New Roman" w:hAnsi="Times New Roman" w:cs="Times New Roman"/>
          <w:sz w:val="24"/>
          <w:szCs w:val="24"/>
        </w:rPr>
        <w:t>HER2</w:t>
      </w:r>
      <w:r w:rsidRPr="0098647E">
        <w:rPr>
          <w:rFonts w:ascii="Times New Roman" w:hAnsi="Times New Roman" w:cs="Times New Roman"/>
          <w:sz w:val="24"/>
          <w:szCs w:val="24"/>
        </w:rPr>
        <w:t xml:space="preserve"> expression is a predictor of poor prognosis in stage I triple-negative breast cancer</w:t>
      </w:r>
      <w:r w:rsidR="0098647E">
        <w:rPr>
          <w:rFonts w:ascii="Times New Roman" w:hAnsi="Times New Roman" w:cs="Times New Roman"/>
          <w:sz w:val="24"/>
          <w:szCs w:val="24"/>
        </w:rPr>
        <w:t>,</w:t>
      </w:r>
      <w:r w:rsidRPr="0098647E">
        <w:rPr>
          <w:rFonts w:ascii="Times New Roman" w:hAnsi="Times New Roman" w:cs="Times New Roman"/>
          <w:sz w:val="24"/>
          <w:szCs w:val="24"/>
        </w:rPr>
        <w:t xml:space="preserve"> </w:t>
      </w:r>
      <w:r w:rsidRPr="0098647E">
        <w:rPr>
          <w:rFonts w:ascii="Times New Roman" w:hAnsi="Times New Roman" w:cs="Times New Roman"/>
          <w:i/>
          <w:iCs/>
          <w:sz w:val="24"/>
          <w:szCs w:val="24"/>
        </w:rPr>
        <w:t>Front Oncol</w:t>
      </w:r>
      <w:r w:rsidR="0098647E">
        <w:rPr>
          <w:rFonts w:ascii="Times New Roman" w:hAnsi="Times New Roman" w:cs="Times New Roman"/>
          <w:sz w:val="24"/>
          <w:szCs w:val="24"/>
        </w:rPr>
        <w:t>,</w:t>
      </w:r>
      <w:r w:rsidRPr="0098647E">
        <w:rPr>
          <w:rFonts w:ascii="Times New Roman" w:hAnsi="Times New Roman" w:cs="Times New Roman"/>
          <w:sz w:val="24"/>
          <w:szCs w:val="24"/>
        </w:rPr>
        <w:t xml:space="preserve"> 2023;13:1157789</w:t>
      </w:r>
      <w:r w:rsidR="0098647E">
        <w:rPr>
          <w:rFonts w:ascii="Times New Roman" w:hAnsi="Times New Roman" w:cs="Times New Roman"/>
          <w:sz w:val="24"/>
          <w:szCs w:val="24"/>
        </w:rPr>
        <w:t>,</w:t>
      </w:r>
      <w:r w:rsidRPr="0098647E">
        <w:rPr>
          <w:rFonts w:ascii="Times New Roman" w:hAnsi="Times New Roman" w:cs="Times New Roman"/>
          <w:sz w:val="24"/>
          <w:szCs w:val="24"/>
        </w:rPr>
        <w:t xml:space="preserve"> doi:10</w:t>
      </w:r>
      <w:r w:rsidR="0098647E">
        <w:rPr>
          <w:rFonts w:ascii="Times New Roman" w:hAnsi="Times New Roman" w:cs="Times New Roman"/>
          <w:sz w:val="24"/>
          <w:szCs w:val="24"/>
        </w:rPr>
        <w:t>,</w:t>
      </w:r>
      <w:r w:rsidRPr="0098647E">
        <w:rPr>
          <w:rFonts w:ascii="Times New Roman" w:hAnsi="Times New Roman" w:cs="Times New Roman"/>
          <w:sz w:val="24"/>
          <w:szCs w:val="24"/>
        </w:rPr>
        <w:t>3389/fonc</w:t>
      </w:r>
      <w:r w:rsidR="0098647E">
        <w:rPr>
          <w:rFonts w:ascii="Times New Roman" w:hAnsi="Times New Roman" w:cs="Times New Roman"/>
          <w:sz w:val="24"/>
          <w:szCs w:val="24"/>
        </w:rPr>
        <w:t>,</w:t>
      </w:r>
      <w:r w:rsidRPr="0098647E">
        <w:rPr>
          <w:rFonts w:ascii="Times New Roman" w:hAnsi="Times New Roman" w:cs="Times New Roman"/>
          <w:sz w:val="24"/>
          <w:szCs w:val="24"/>
        </w:rPr>
        <w:t>2023</w:t>
      </w:r>
      <w:r w:rsidR="0098647E">
        <w:rPr>
          <w:rFonts w:ascii="Times New Roman" w:hAnsi="Times New Roman" w:cs="Times New Roman"/>
          <w:sz w:val="24"/>
          <w:szCs w:val="24"/>
        </w:rPr>
        <w:t>,</w:t>
      </w:r>
      <w:r w:rsidRPr="0098647E">
        <w:rPr>
          <w:rFonts w:ascii="Times New Roman" w:hAnsi="Times New Roman" w:cs="Times New Roman"/>
          <w:sz w:val="24"/>
          <w:szCs w:val="24"/>
        </w:rPr>
        <w:t>1157789</w:t>
      </w:r>
    </w:p>
    <w:p w14:paraId="273FD217" w14:textId="7D6AE897" w:rsidR="00382531" w:rsidRPr="0098647E" w:rsidRDefault="00382531" w:rsidP="00902398">
      <w:pPr>
        <w:pStyle w:val="Bibliography"/>
        <w:spacing w:line="276" w:lineRule="auto"/>
        <w:jc w:val="both"/>
        <w:rPr>
          <w:rFonts w:ascii="Times New Roman" w:hAnsi="Times New Roman" w:cs="Times New Roman"/>
          <w:sz w:val="24"/>
          <w:szCs w:val="24"/>
        </w:rPr>
      </w:pPr>
      <w:r w:rsidRPr="0098647E">
        <w:rPr>
          <w:rFonts w:ascii="Times New Roman" w:hAnsi="Times New Roman" w:cs="Times New Roman"/>
          <w:sz w:val="24"/>
          <w:szCs w:val="24"/>
        </w:rPr>
        <w:t>9</w:t>
      </w:r>
      <w:r w:rsidR="0098647E">
        <w:rPr>
          <w:rFonts w:ascii="Times New Roman" w:hAnsi="Times New Roman" w:cs="Times New Roman"/>
          <w:sz w:val="24"/>
          <w:szCs w:val="24"/>
        </w:rPr>
        <w:t>,</w:t>
      </w:r>
      <w:r w:rsidRPr="0098647E">
        <w:rPr>
          <w:rFonts w:ascii="Times New Roman" w:hAnsi="Times New Roman" w:cs="Times New Roman"/>
          <w:sz w:val="24"/>
          <w:szCs w:val="24"/>
        </w:rPr>
        <w:tab/>
        <w:t>Jang N, Kwon HJ, Park MH, Kang SH, Bae YK</w:t>
      </w:r>
      <w:r w:rsidR="0098647E">
        <w:rPr>
          <w:rFonts w:ascii="Times New Roman" w:hAnsi="Times New Roman" w:cs="Times New Roman"/>
          <w:sz w:val="24"/>
          <w:szCs w:val="24"/>
        </w:rPr>
        <w:t>,</w:t>
      </w:r>
      <w:r w:rsidRPr="0098647E">
        <w:rPr>
          <w:rFonts w:ascii="Times New Roman" w:hAnsi="Times New Roman" w:cs="Times New Roman"/>
          <w:sz w:val="24"/>
          <w:szCs w:val="24"/>
        </w:rPr>
        <w:t xml:space="preserve"> Prognostic Value of Tumor-Infiltrating Lymphocyte Density Assessed Using a Standardized Method Based on Molecular Subtypes and Adjuvant Chemotherapy in Invasive Breast Cancer</w:t>
      </w:r>
      <w:r w:rsidR="0098647E">
        <w:rPr>
          <w:rFonts w:ascii="Times New Roman" w:hAnsi="Times New Roman" w:cs="Times New Roman"/>
          <w:sz w:val="24"/>
          <w:szCs w:val="24"/>
        </w:rPr>
        <w:t>,</w:t>
      </w:r>
      <w:r w:rsidRPr="0098647E">
        <w:rPr>
          <w:rFonts w:ascii="Times New Roman" w:hAnsi="Times New Roman" w:cs="Times New Roman"/>
          <w:sz w:val="24"/>
          <w:szCs w:val="24"/>
        </w:rPr>
        <w:t xml:space="preserve"> </w:t>
      </w:r>
      <w:r w:rsidRPr="0098647E">
        <w:rPr>
          <w:rFonts w:ascii="Times New Roman" w:hAnsi="Times New Roman" w:cs="Times New Roman"/>
          <w:i/>
          <w:iCs/>
          <w:sz w:val="24"/>
          <w:szCs w:val="24"/>
        </w:rPr>
        <w:t>Ann Surg Oncol</w:t>
      </w:r>
      <w:r w:rsidR="0098647E" w:rsidRPr="0098647E">
        <w:rPr>
          <w:rFonts w:ascii="Times New Roman" w:hAnsi="Times New Roman" w:cs="Times New Roman"/>
          <w:sz w:val="24"/>
          <w:szCs w:val="24"/>
        </w:rPr>
        <w:t>,</w:t>
      </w:r>
      <w:r w:rsidRPr="0098647E">
        <w:rPr>
          <w:rFonts w:ascii="Times New Roman" w:hAnsi="Times New Roman" w:cs="Times New Roman"/>
          <w:sz w:val="24"/>
          <w:szCs w:val="24"/>
        </w:rPr>
        <w:t xml:space="preserve"> 2018;25(4):937-946</w:t>
      </w:r>
      <w:r w:rsidR="0098647E" w:rsidRPr="0098647E">
        <w:rPr>
          <w:rFonts w:ascii="Times New Roman" w:hAnsi="Times New Roman" w:cs="Times New Roman"/>
          <w:sz w:val="24"/>
          <w:szCs w:val="24"/>
        </w:rPr>
        <w:t>,</w:t>
      </w:r>
      <w:r w:rsidRPr="0098647E">
        <w:rPr>
          <w:rFonts w:ascii="Times New Roman" w:hAnsi="Times New Roman" w:cs="Times New Roman"/>
          <w:sz w:val="24"/>
          <w:szCs w:val="24"/>
        </w:rPr>
        <w:t xml:space="preserve"> doi:10</w:t>
      </w:r>
      <w:r w:rsidR="0098647E" w:rsidRPr="0098647E">
        <w:rPr>
          <w:rFonts w:ascii="Times New Roman" w:hAnsi="Times New Roman" w:cs="Times New Roman"/>
          <w:sz w:val="24"/>
          <w:szCs w:val="24"/>
        </w:rPr>
        <w:t>,</w:t>
      </w:r>
      <w:r w:rsidRPr="0098647E">
        <w:rPr>
          <w:rFonts w:ascii="Times New Roman" w:hAnsi="Times New Roman" w:cs="Times New Roman"/>
          <w:sz w:val="24"/>
          <w:szCs w:val="24"/>
        </w:rPr>
        <w:t>1245/s10434-017-6332-2</w:t>
      </w:r>
    </w:p>
    <w:p w14:paraId="566B7347" w14:textId="05431633" w:rsidR="00382531" w:rsidRPr="0098647E" w:rsidRDefault="00382531" w:rsidP="00902398">
      <w:pPr>
        <w:pStyle w:val="Bibliography"/>
        <w:spacing w:line="276" w:lineRule="auto"/>
        <w:jc w:val="both"/>
        <w:rPr>
          <w:rFonts w:ascii="Times New Roman" w:hAnsi="Times New Roman" w:cs="Times New Roman"/>
          <w:sz w:val="24"/>
          <w:szCs w:val="24"/>
        </w:rPr>
      </w:pPr>
      <w:r w:rsidRPr="0098647E">
        <w:rPr>
          <w:rFonts w:ascii="Times New Roman" w:hAnsi="Times New Roman" w:cs="Times New Roman"/>
          <w:sz w:val="24"/>
          <w:szCs w:val="24"/>
        </w:rPr>
        <w:t>10</w:t>
      </w:r>
      <w:r w:rsidR="0098647E" w:rsidRPr="0098647E">
        <w:rPr>
          <w:rFonts w:ascii="Times New Roman" w:hAnsi="Times New Roman" w:cs="Times New Roman"/>
          <w:sz w:val="24"/>
          <w:szCs w:val="24"/>
        </w:rPr>
        <w:t>,</w:t>
      </w:r>
      <w:r w:rsidRPr="0098647E">
        <w:rPr>
          <w:rFonts w:ascii="Times New Roman" w:hAnsi="Times New Roman" w:cs="Times New Roman"/>
          <w:sz w:val="24"/>
          <w:szCs w:val="24"/>
        </w:rPr>
        <w:tab/>
        <w:t>de Jong VMT, Wang Y, Ter Hoeve ND, et al</w:t>
      </w:r>
      <w:r w:rsidR="0098647E" w:rsidRPr="0098647E">
        <w:rPr>
          <w:rFonts w:ascii="Times New Roman" w:hAnsi="Times New Roman" w:cs="Times New Roman"/>
          <w:sz w:val="24"/>
          <w:szCs w:val="24"/>
        </w:rPr>
        <w:t>,</w:t>
      </w:r>
      <w:r w:rsidRPr="0098647E">
        <w:rPr>
          <w:rFonts w:ascii="Times New Roman" w:hAnsi="Times New Roman" w:cs="Times New Roman"/>
          <w:sz w:val="24"/>
          <w:szCs w:val="24"/>
        </w:rPr>
        <w:t xml:space="preserve"> Prognostic Value of Stromal Tumor-Infiltrating Lymphocytes in Young, Node-Negative, Triple-Negative Breast Cancer Patients Who Did Not Receive (neo)Adjuvant Systemic Therapy</w:t>
      </w:r>
      <w:r w:rsidR="0098647E">
        <w:rPr>
          <w:rFonts w:ascii="Times New Roman" w:hAnsi="Times New Roman" w:cs="Times New Roman"/>
          <w:sz w:val="24"/>
          <w:szCs w:val="24"/>
        </w:rPr>
        <w:t>,</w:t>
      </w:r>
      <w:r w:rsidRPr="0098647E">
        <w:rPr>
          <w:rFonts w:ascii="Times New Roman" w:hAnsi="Times New Roman" w:cs="Times New Roman"/>
          <w:sz w:val="24"/>
          <w:szCs w:val="24"/>
        </w:rPr>
        <w:t xml:space="preserve"> </w:t>
      </w:r>
      <w:r w:rsidRPr="0098647E">
        <w:rPr>
          <w:rFonts w:ascii="Times New Roman" w:hAnsi="Times New Roman" w:cs="Times New Roman"/>
          <w:i/>
          <w:iCs/>
          <w:sz w:val="24"/>
          <w:szCs w:val="24"/>
        </w:rPr>
        <w:t>J Clin Oncol Off J Am Soc Clin Oncol</w:t>
      </w:r>
      <w:r w:rsidR="0098647E">
        <w:rPr>
          <w:rFonts w:ascii="Times New Roman" w:hAnsi="Times New Roman" w:cs="Times New Roman"/>
          <w:sz w:val="24"/>
          <w:szCs w:val="24"/>
        </w:rPr>
        <w:t>,</w:t>
      </w:r>
      <w:r w:rsidRPr="0098647E">
        <w:rPr>
          <w:rFonts w:ascii="Times New Roman" w:hAnsi="Times New Roman" w:cs="Times New Roman"/>
          <w:sz w:val="24"/>
          <w:szCs w:val="24"/>
        </w:rPr>
        <w:t xml:space="preserve"> 2022;40(21):2361-2374</w:t>
      </w:r>
      <w:r w:rsidR="0098647E">
        <w:rPr>
          <w:rFonts w:ascii="Times New Roman" w:hAnsi="Times New Roman" w:cs="Times New Roman"/>
          <w:sz w:val="24"/>
          <w:szCs w:val="24"/>
        </w:rPr>
        <w:t>,</w:t>
      </w:r>
      <w:r w:rsidRPr="0098647E">
        <w:rPr>
          <w:rFonts w:ascii="Times New Roman" w:hAnsi="Times New Roman" w:cs="Times New Roman"/>
          <w:sz w:val="24"/>
          <w:szCs w:val="24"/>
        </w:rPr>
        <w:t xml:space="preserve"> doi:10</w:t>
      </w:r>
      <w:r w:rsidR="0098647E">
        <w:rPr>
          <w:rFonts w:ascii="Times New Roman" w:hAnsi="Times New Roman" w:cs="Times New Roman"/>
          <w:sz w:val="24"/>
          <w:szCs w:val="24"/>
        </w:rPr>
        <w:t>,</w:t>
      </w:r>
      <w:r w:rsidRPr="0098647E">
        <w:rPr>
          <w:rFonts w:ascii="Times New Roman" w:hAnsi="Times New Roman" w:cs="Times New Roman"/>
          <w:sz w:val="24"/>
          <w:szCs w:val="24"/>
        </w:rPr>
        <w:t>1200/JCO</w:t>
      </w:r>
      <w:r w:rsidR="0098647E">
        <w:rPr>
          <w:rFonts w:ascii="Times New Roman" w:hAnsi="Times New Roman" w:cs="Times New Roman"/>
          <w:sz w:val="24"/>
          <w:szCs w:val="24"/>
        </w:rPr>
        <w:t>,</w:t>
      </w:r>
      <w:r w:rsidRPr="0098647E">
        <w:rPr>
          <w:rFonts w:ascii="Times New Roman" w:hAnsi="Times New Roman" w:cs="Times New Roman"/>
          <w:sz w:val="24"/>
          <w:szCs w:val="24"/>
        </w:rPr>
        <w:t>21</w:t>
      </w:r>
      <w:r w:rsidR="0098647E">
        <w:rPr>
          <w:rFonts w:ascii="Times New Roman" w:hAnsi="Times New Roman" w:cs="Times New Roman"/>
          <w:sz w:val="24"/>
          <w:szCs w:val="24"/>
        </w:rPr>
        <w:t>,</w:t>
      </w:r>
      <w:r w:rsidRPr="0098647E">
        <w:rPr>
          <w:rFonts w:ascii="Times New Roman" w:hAnsi="Times New Roman" w:cs="Times New Roman"/>
          <w:sz w:val="24"/>
          <w:szCs w:val="24"/>
        </w:rPr>
        <w:t>01536</w:t>
      </w:r>
    </w:p>
    <w:p w14:paraId="73324A19" w14:textId="30B23632" w:rsidR="00382531" w:rsidRPr="0098647E" w:rsidRDefault="00382531" w:rsidP="00902398">
      <w:pPr>
        <w:pStyle w:val="Bibliography"/>
        <w:spacing w:line="276" w:lineRule="auto"/>
        <w:jc w:val="both"/>
        <w:rPr>
          <w:rFonts w:ascii="Times New Roman" w:hAnsi="Times New Roman" w:cs="Times New Roman"/>
          <w:sz w:val="24"/>
          <w:szCs w:val="24"/>
        </w:rPr>
      </w:pPr>
      <w:r w:rsidRPr="0098647E">
        <w:rPr>
          <w:rFonts w:ascii="Times New Roman" w:hAnsi="Times New Roman" w:cs="Times New Roman"/>
          <w:sz w:val="24"/>
          <w:szCs w:val="24"/>
        </w:rPr>
        <w:t>11</w:t>
      </w:r>
      <w:r w:rsidR="0098647E" w:rsidRPr="0098647E">
        <w:rPr>
          <w:rFonts w:ascii="Times New Roman" w:hAnsi="Times New Roman" w:cs="Times New Roman"/>
          <w:sz w:val="24"/>
          <w:szCs w:val="24"/>
        </w:rPr>
        <w:t>,</w:t>
      </w:r>
      <w:r w:rsidRPr="0098647E">
        <w:rPr>
          <w:rFonts w:ascii="Times New Roman" w:hAnsi="Times New Roman" w:cs="Times New Roman"/>
          <w:sz w:val="24"/>
          <w:szCs w:val="24"/>
        </w:rPr>
        <w:tab/>
        <w:t>Hu X, Yang P, Chen S, et al</w:t>
      </w:r>
      <w:r w:rsidR="0098647E" w:rsidRPr="0098647E">
        <w:rPr>
          <w:rFonts w:ascii="Times New Roman" w:hAnsi="Times New Roman" w:cs="Times New Roman"/>
          <w:sz w:val="24"/>
          <w:szCs w:val="24"/>
        </w:rPr>
        <w:t>,</w:t>
      </w:r>
      <w:r w:rsidRPr="0098647E">
        <w:rPr>
          <w:rFonts w:ascii="Times New Roman" w:hAnsi="Times New Roman" w:cs="Times New Roman"/>
          <w:sz w:val="24"/>
          <w:szCs w:val="24"/>
        </w:rPr>
        <w:t xml:space="preserve"> Clinical and biological heterogeneities in triple-negative breast cancer reveals a non-negligible role of </w:t>
      </w:r>
      <w:r w:rsidR="00077B4C" w:rsidRPr="0098647E">
        <w:rPr>
          <w:rFonts w:ascii="Times New Roman" w:hAnsi="Times New Roman" w:cs="Times New Roman"/>
          <w:sz w:val="24"/>
          <w:szCs w:val="24"/>
        </w:rPr>
        <w:t>HER2</w:t>
      </w:r>
      <w:r w:rsidRPr="0098647E">
        <w:rPr>
          <w:rFonts w:ascii="Times New Roman" w:hAnsi="Times New Roman" w:cs="Times New Roman"/>
          <w:sz w:val="24"/>
          <w:szCs w:val="24"/>
        </w:rPr>
        <w:t>-low</w:t>
      </w:r>
      <w:r w:rsidR="0098647E">
        <w:rPr>
          <w:rFonts w:ascii="Times New Roman" w:hAnsi="Times New Roman" w:cs="Times New Roman"/>
          <w:sz w:val="24"/>
          <w:szCs w:val="24"/>
        </w:rPr>
        <w:t>,</w:t>
      </w:r>
      <w:r w:rsidRPr="0098647E">
        <w:rPr>
          <w:rFonts w:ascii="Times New Roman" w:hAnsi="Times New Roman" w:cs="Times New Roman"/>
          <w:sz w:val="24"/>
          <w:szCs w:val="24"/>
        </w:rPr>
        <w:t xml:space="preserve"> </w:t>
      </w:r>
      <w:r w:rsidRPr="0098647E">
        <w:rPr>
          <w:rFonts w:ascii="Times New Roman" w:hAnsi="Times New Roman" w:cs="Times New Roman"/>
          <w:i/>
          <w:iCs/>
          <w:sz w:val="24"/>
          <w:szCs w:val="24"/>
        </w:rPr>
        <w:t>Breast Cancer Res</w:t>
      </w:r>
      <w:r w:rsidR="0098647E">
        <w:rPr>
          <w:rFonts w:ascii="Times New Roman" w:hAnsi="Times New Roman" w:cs="Times New Roman"/>
          <w:sz w:val="24"/>
          <w:szCs w:val="24"/>
        </w:rPr>
        <w:t>,</w:t>
      </w:r>
      <w:r w:rsidRPr="0098647E">
        <w:rPr>
          <w:rFonts w:ascii="Times New Roman" w:hAnsi="Times New Roman" w:cs="Times New Roman"/>
          <w:sz w:val="24"/>
          <w:szCs w:val="24"/>
        </w:rPr>
        <w:t xml:space="preserve"> 2023;25(1):34</w:t>
      </w:r>
      <w:r w:rsidR="0098647E">
        <w:rPr>
          <w:rFonts w:ascii="Times New Roman" w:hAnsi="Times New Roman" w:cs="Times New Roman"/>
          <w:sz w:val="24"/>
          <w:szCs w:val="24"/>
        </w:rPr>
        <w:t>,</w:t>
      </w:r>
      <w:r w:rsidRPr="0098647E">
        <w:rPr>
          <w:rFonts w:ascii="Times New Roman" w:hAnsi="Times New Roman" w:cs="Times New Roman"/>
          <w:sz w:val="24"/>
          <w:szCs w:val="24"/>
        </w:rPr>
        <w:t xml:space="preserve"> doi:10</w:t>
      </w:r>
      <w:r w:rsidR="0098647E">
        <w:rPr>
          <w:rFonts w:ascii="Times New Roman" w:hAnsi="Times New Roman" w:cs="Times New Roman"/>
          <w:sz w:val="24"/>
          <w:szCs w:val="24"/>
        </w:rPr>
        <w:t>,</w:t>
      </w:r>
      <w:r w:rsidRPr="0098647E">
        <w:rPr>
          <w:rFonts w:ascii="Times New Roman" w:hAnsi="Times New Roman" w:cs="Times New Roman"/>
          <w:sz w:val="24"/>
          <w:szCs w:val="24"/>
        </w:rPr>
        <w:t>1186/s13058-023-01639-y</w:t>
      </w:r>
    </w:p>
    <w:p w14:paraId="6B51A315" w14:textId="3C067502" w:rsidR="00382531" w:rsidRPr="0098647E" w:rsidRDefault="00382531" w:rsidP="00902398">
      <w:pPr>
        <w:pStyle w:val="Bibliography"/>
        <w:spacing w:line="276" w:lineRule="auto"/>
        <w:jc w:val="both"/>
        <w:rPr>
          <w:rFonts w:ascii="Times New Roman" w:hAnsi="Times New Roman" w:cs="Times New Roman"/>
          <w:sz w:val="24"/>
          <w:szCs w:val="24"/>
        </w:rPr>
      </w:pPr>
      <w:r w:rsidRPr="0098647E">
        <w:rPr>
          <w:rFonts w:ascii="Times New Roman" w:hAnsi="Times New Roman" w:cs="Times New Roman"/>
          <w:sz w:val="24"/>
          <w:szCs w:val="24"/>
        </w:rPr>
        <w:t>12</w:t>
      </w:r>
      <w:r w:rsidR="0098647E">
        <w:rPr>
          <w:rFonts w:ascii="Times New Roman" w:hAnsi="Times New Roman" w:cs="Times New Roman"/>
          <w:sz w:val="24"/>
          <w:szCs w:val="24"/>
        </w:rPr>
        <w:t>,</w:t>
      </w:r>
      <w:r w:rsidRPr="0098647E">
        <w:rPr>
          <w:rFonts w:ascii="Times New Roman" w:hAnsi="Times New Roman" w:cs="Times New Roman"/>
          <w:sz w:val="24"/>
          <w:szCs w:val="24"/>
        </w:rPr>
        <w:tab/>
        <w:t>Denkert C, Seither F, Schneeweiss A, et al</w:t>
      </w:r>
      <w:r w:rsidR="0098647E">
        <w:rPr>
          <w:rFonts w:ascii="Times New Roman" w:hAnsi="Times New Roman" w:cs="Times New Roman"/>
          <w:sz w:val="24"/>
          <w:szCs w:val="24"/>
        </w:rPr>
        <w:t>,</w:t>
      </w:r>
      <w:r w:rsidRPr="0098647E">
        <w:rPr>
          <w:rFonts w:ascii="Times New Roman" w:hAnsi="Times New Roman" w:cs="Times New Roman"/>
          <w:sz w:val="24"/>
          <w:szCs w:val="24"/>
        </w:rPr>
        <w:t xml:space="preserve"> Clinical and molecular characteristics of </w:t>
      </w:r>
      <w:r w:rsidR="00077B4C" w:rsidRPr="0098647E">
        <w:rPr>
          <w:rFonts w:ascii="Times New Roman" w:hAnsi="Times New Roman" w:cs="Times New Roman"/>
          <w:sz w:val="24"/>
          <w:szCs w:val="24"/>
        </w:rPr>
        <w:t>HER2</w:t>
      </w:r>
      <w:r w:rsidRPr="0098647E">
        <w:rPr>
          <w:rFonts w:ascii="Times New Roman" w:hAnsi="Times New Roman" w:cs="Times New Roman"/>
          <w:sz w:val="24"/>
          <w:szCs w:val="24"/>
        </w:rPr>
        <w:t>-low-positive breast cancer: pooled analysis of individual patient data from four prospective, neoadjuvant clinical trials</w:t>
      </w:r>
      <w:r w:rsidR="0098647E">
        <w:rPr>
          <w:rFonts w:ascii="Times New Roman" w:hAnsi="Times New Roman" w:cs="Times New Roman"/>
          <w:sz w:val="24"/>
          <w:szCs w:val="24"/>
        </w:rPr>
        <w:t>,</w:t>
      </w:r>
      <w:r w:rsidRPr="0098647E">
        <w:rPr>
          <w:rFonts w:ascii="Times New Roman" w:hAnsi="Times New Roman" w:cs="Times New Roman"/>
          <w:sz w:val="24"/>
          <w:szCs w:val="24"/>
        </w:rPr>
        <w:t xml:space="preserve"> </w:t>
      </w:r>
      <w:r w:rsidRPr="0098647E">
        <w:rPr>
          <w:rFonts w:ascii="Times New Roman" w:hAnsi="Times New Roman" w:cs="Times New Roman"/>
          <w:i/>
          <w:iCs/>
          <w:sz w:val="24"/>
          <w:szCs w:val="24"/>
        </w:rPr>
        <w:t>Lancet Oncol</w:t>
      </w:r>
      <w:r w:rsidR="0098647E" w:rsidRPr="0098647E">
        <w:rPr>
          <w:rFonts w:ascii="Times New Roman" w:hAnsi="Times New Roman" w:cs="Times New Roman"/>
          <w:sz w:val="24"/>
          <w:szCs w:val="24"/>
        </w:rPr>
        <w:t>,</w:t>
      </w:r>
      <w:r w:rsidRPr="0098647E">
        <w:rPr>
          <w:rFonts w:ascii="Times New Roman" w:hAnsi="Times New Roman" w:cs="Times New Roman"/>
          <w:sz w:val="24"/>
          <w:szCs w:val="24"/>
        </w:rPr>
        <w:t xml:space="preserve"> 2021;22(8):1151-1161</w:t>
      </w:r>
      <w:r w:rsidR="0098647E" w:rsidRPr="0098647E">
        <w:rPr>
          <w:rFonts w:ascii="Times New Roman" w:hAnsi="Times New Roman" w:cs="Times New Roman"/>
          <w:sz w:val="24"/>
          <w:szCs w:val="24"/>
        </w:rPr>
        <w:t>,</w:t>
      </w:r>
      <w:r w:rsidRPr="0098647E">
        <w:rPr>
          <w:rFonts w:ascii="Times New Roman" w:hAnsi="Times New Roman" w:cs="Times New Roman"/>
          <w:sz w:val="24"/>
          <w:szCs w:val="24"/>
        </w:rPr>
        <w:t xml:space="preserve"> doi:10</w:t>
      </w:r>
      <w:r w:rsidR="0098647E" w:rsidRPr="0098647E">
        <w:rPr>
          <w:rFonts w:ascii="Times New Roman" w:hAnsi="Times New Roman" w:cs="Times New Roman"/>
          <w:sz w:val="24"/>
          <w:szCs w:val="24"/>
        </w:rPr>
        <w:t>,</w:t>
      </w:r>
      <w:r w:rsidRPr="0098647E">
        <w:rPr>
          <w:rFonts w:ascii="Times New Roman" w:hAnsi="Times New Roman" w:cs="Times New Roman"/>
          <w:sz w:val="24"/>
          <w:szCs w:val="24"/>
        </w:rPr>
        <w:t>1016/S1470-2045(21)00301-6</w:t>
      </w:r>
    </w:p>
    <w:p w14:paraId="35EA3C2A" w14:textId="6A503B6A" w:rsidR="00382531" w:rsidRPr="0098647E" w:rsidRDefault="00382531" w:rsidP="00902398">
      <w:pPr>
        <w:pStyle w:val="Bibliography"/>
        <w:spacing w:line="276" w:lineRule="auto"/>
        <w:jc w:val="both"/>
        <w:rPr>
          <w:rFonts w:ascii="Times New Roman" w:hAnsi="Times New Roman" w:cs="Times New Roman"/>
          <w:sz w:val="24"/>
          <w:szCs w:val="24"/>
        </w:rPr>
      </w:pPr>
      <w:r w:rsidRPr="0098647E">
        <w:rPr>
          <w:rFonts w:ascii="Times New Roman" w:hAnsi="Times New Roman" w:cs="Times New Roman"/>
          <w:sz w:val="24"/>
          <w:szCs w:val="24"/>
        </w:rPr>
        <w:lastRenderedPageBreak/>
        <w:t>13</w:t>
      </w:r>
      <w:r w:rsidR="0098647E" w:rsidRPr="0098647E">
        <w:rPr>
          <w:rFonts w:ascii="Times New Roman" w:hAnsi="Times New Roman" w:cs="Times New Roman"/>
          <w:sz w:val="24"/>
          <w:szCs w:val="24"/>
        </w:rPr>
        <w:t>,</w:t>
      </w:r>
      <w:r w:rsidRPr="0098647E">
        <w:rPr>
          <w:rFonts w:ascii="Times New Roman" w:hAnsi="Times New Roman" w:cs="Times New Roman"/>
          <w:sz w:val="24"/>
          <w:szCs w:val="24"/>
        </w:rPr>
        <w:tab/>
        <w:t>van den Ende NS, Smid M, Timmermans A, et al</w:t>
      </w:r>
      <w:r w:rsidR="0098647E" w:rsidRPr="0098647E">
        <w:rPr>
          <w:rFonts w:ascii="Times New Roman" w:hAnsi="Times New Roman" w:cs="Times New Roman"/>
          <w:sz w:val="24"/>
          <w:szCs w:val="24"/>
        </w:rPr>
        <w:t>,</w:t>
      </w:r>
      <w:r w:rsidRPr="0098647E">
        <w:rPr>
          <w:rFonts w:ascii="Times New Roman" w:hAnsi="Times New Roman" w:cs="Times New Roman"/>
          <w:sz w:val="24"/>
          <w:szCs w:val="24"/>
        </w:rPr>
        <w:t xml:space="preserve"> </w:t>
      </w:r>
      <w:r w:rsidR="00077B4C" w:rsidRPr="0098647E">
        <w:rPr>
          <w:rFonts w:ascii="Times New Roman" w:hAnsi="Times New Roman" w:cs="Times New Roman"/>
          <w:sz w:val="24"/>
          <w:szCs w:val="24"/>
        </w:rPr>
        <w:t>HER2</w:t>
      </w:r>
      <w:r w:rsidRPr="0098647E">
        <w:rPr>
          <w:rFonts w:ascii="Times New Roman" w:hAnsi="Times New Roman" w:cs="Times New Roman"/>
          <w:sz w:val="24"/>
          <w:szCs w:val="24"/>
        </w:rPr>
        <w:t xml:space="preserve">-low breast cancer shows a lower immune response compared to </w:t>
      </w:r>
      <w:r w:rsidR="00077B4C" w:rsidRPr="0098647E">
        <w:rPr>
          <w:rFonts w:ascii="Times New Roman" w:hAnsi="Times New Roman" w:cs="Times New Roman"/>
          <w:sz w:val="24"/>
          <w:szCs w:val="24"/>
        </w:rPr>
        <w:t>HER2</w:t>
      </w:r>
      <w:r w:rsidRPr="0098647E">
        <w:rPr>
          <w:rFonts w:ascii="Times New Roman" w:hAnsi="Times New Roman" w:cs="Times New Roman"/>
          <w:sz w:val="24"/>
          <w:szCs w:val="24"/>
        </w:rPr>
        <w:t>-negative cases</w:t>
      </w:r>
      <w:r w:rsidR="0098647E">
        <w:rPr>
          <w:rFonts w:ascii="Times New Roman" w:hAnsi="Times New Roman" w:cs="Times New Roman"/>
          <w:sz w:val="24"/>
          <w:szCs w:val="24"/>
        </w:rPr>
        <w:t>,</w:t>
      </w:r>
      <w:r w:rsidRPr="0098647E">
        <w:rPr>
          <w:rFonts w:ascii="Times New Roman" w:hAnsi="Times New Roman" w:cs="Times New Roman"/>
          <w:sz w:val="24"/>
          <w:szCs w:val="24"/>
        </w:rPr>
        <w:t xml:space="preserve"> </w:t>
      </w:r>
      <w:r w:rsidRPr="0098647E">
        <w:rPr>
          <w:rFonts w:ascii="Times New Roman" w:hAnsi="Times New Roman" w:cs="Times New Roman"/>
          <w:i/>
          <w:iCs/>
          <w:sz w:val="24"/>
          <w:szCs w:val="24"/>
        </w:rPr>
        <w:t>Sci Rep</w:t>
      </w:r>
      <w:r w:rsidR="0098647E">
        <w:rPr>
          <w:rFonts w:ascii="Times New Roman" w:hAnsi="Times New Roman" w:cs="Times New Roman"/>
          <w:sz w:val="24"/>
          <w:szCs w:val="24"/>
        </w:rPr>
        <w:t>,</w:t>
      </w:r>
      <w:r w:rsidRPr="0098647E">
        <w:rPr>
          <w:rFonts w:ascii="Times New Roman" w:hAnsi="Times New Roman" w:cs="Times New Roman"/>
          <w:sz w:val="24"/>
          <w:szCs w:val="24"/>
        </w:rPr>
        <w:t xml:space="preserve"> 2022;12(1):12974</w:t>
      </w:r>
      <w:r w:rsidR="0098647E">
        <w:rPr>
          <w:rFonts w:ascii="Times New Roman" w:hAnsi="Times New Roman" w:cs="Times New Roman"/>
          <w:sz w:val="24"/>
          <w:szCs w:val="24"/>
        </w:rPr>
        <w:t>,</w:t>
      </w:r>
      <w:r w:rsidRPr="0098647E">
        <w:rPr>
          <w:rFonts w:ascii="Times New Roman" w:hAnsi="Times New Roman" w:cs="Times New Roman"/>
          <w:sz w:val="24"/>
          <w:szCs w:val="24"/>
        </w:rPr>
        <w:t xml:space="preserve"> doi:10</w:t>
      </w:r>
      <w:r w:rsidR="0098647E">
        <w:rPr>
          <w:rFonts w:ascii="Times New Roman" w:hAnsi="Times New Roman" w:cs="Times New Roman"/>
          <w:sz w:val="24"/>
          <w:szCs w:val="24"/>
        </w:rPr>
        <w:t>,</w:t>
      </w:r>
      <w:r w:rsidRPr="0098647E">
        <w:rPr>
          <w:rFonts w:ascii="Times New Roman" w:hAnsi="Times New Roman" w:cs="Times New Roman"/>
          <w:sz w:val="24"/>
          <w:szCs w:val="24"/>
        </w:rPr>
        <w:t>1038/s41598-022-16898-6</w:t>
      </w:r>
    </w:p>
    <w:p w14:paraId="353CFA06" w14:textId="4D6238A7" w:rsidR="00C20424" w:rsidRPr="0098647E" w:rsidRDefault="00C20424" w:rsidP="00902398">
      <w:pPr>
        <w:spacing w:line="276" w:lineRule="auto"/>
        <w:jc w:val="both"/>
        <w:rPr>
          <w:rFonts w:ascii="Times New Roman" w:hAnsi="Times New Roman" w:cs="Times New Roman"/>
          <w:sz w:val="24"/>
          <w:szCs w:val="24"/>
        </w:rPr>
      </w:pPr>
      <w:r w:rsidRPr="0098647E">
        <w:rPr>
          <w:rFonts w:ascii="Times New Roman" w:hAnsi="Times New Roman" w:cs="Times New Roman"/>
          <w:sz w:val="24"/>
          <w:szCs w:val="24"/>
        </w:rPr>
        <w:fldChar w:fldCharType="end"/>
      </w:r>
    </w:p>
    <w:sectPr w:rsidR="00C20424" w:rsidRPr="009864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E1AE6" w14:textId="77777777" w:rsidR="007C1A9C" w:rsidRDefault="007C1A9C" w:rsidP="00EA062E">
      <w:pPr>
        <w:spacing w:after="0" w:line="240" w:lineRule="auto"/>
      </w:pPr>
      <w:r>
        <w:separator/>
      </w:r>
    </w:p>
  </w:endnote>
  <w:endnote w:type="continuationSeparator" w:id="0">
    <w:p w14:paraId="58BB056A" w14:textId="77777777" w:rsidR="007C1A9C" w:rsidRDefault="007C1A9C" w:rsidP="00EA0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A37E5" w14:textId="77777777" w:rsidR="007C1A9C" w:rsidRDefault="007C1A9C" w:rsidP="00EA062E">
      <w:pPr>
        <w:spacing w:after="0" w:line="240" w:lineRule="auto"/>
      </w:pPr>
      <w:r>
        <w:separator/>
      </w:r>
    </w:p>
  </w:footnote>
  <w:footnote w:type="continuationSeparator" w:id="0">
    <w:p w14:paraId="3B87BAAB" w14:textId="77777777" w:rsidR="007C1A9C" w:rsidRDefault="007C1A9C" w:rsidP="00EA06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C7348"/>
    <w:multiLevelType w:val="hybridMultilevel"/>
    <w:tmpl w:val="FFE82E54"/>
    <w:lvl w:ilvl="0" w:tplc="A4C00A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F26BC"/>
    <w:multiLevelType w:val="hybridMultilevel"/>
    <w:tmpl w:val="CB2865FE"/>
    <w:lvl w:ilvl="0" w:tplc="CB04FB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5A3340"/>
    <w:multiLevelType w:val="hybridMultilevel"/>
    <w:tmpl w:val="EA1A7C94"/>
    <w:lvl w:ilvl="0" w:tplc="996A07B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C275906"/>
    <w:multiLevelType w:val="hybridMultilevel"/>
    <w:tmpl w:val="B45A7884"/>
    <w:lvl w:ilvl="0" w:tplc="1F8487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105EED"/>
    <w:multiLevelType w:val="hybridMultilevel"/>
    <w:tmpl w:val="CC601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6075221">
    <w:abstractNumId w:val="0"/>
  </w:num>
  <w:num w:numId="2" w16cid:durableId="116990392">
    <w:abstractNumId w:val="2"/>
  </w:num>
  <w:num w:numId="3" w16cid:durableId="2120833245">
    <w:abstractNumId w:val="4"/>
  </w:num>
  <w:num w:numId="4" w16cid:durableId="1567833982">
    <w:abstractNumId w:val="3"/>
  </w:num>
  <w:num w:numId="5" w16cid:durableId="304286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C0A"/>
    <w:rsid w:val="00000C14"/>
    <w:rsid w:val="000012CB"/>
    <w:rsid w:val="0000172A"/>
    <w:rsid w:val="00005F43"/>
    <w:rsid w:val="00011DA8"/>
    <w:rsid w:val="00013490"/>
    <w:rsid w:val="00024CCD"/>
    <w:rsid w:val="00032489"/>
    <w:rsid w:val="00032780"/>
    <w:rsid w:val="000368E0"/>
    <w:rsid w:val="00042221"/>
    <w:rsid w:val="00042E2F"/>
    <w:rsid w:val="0004390F"/>
    <w:rsid w:val="00045532"/>
    <w:rsid w:val="00047907"/>
    <w:rsid w:val="000519EB"/>
    <w:rsid w:val="00051FF4"/>
    <w:rsid w:val="000567B4"/>
    <w:rsid w:val="00060864"/>
    <w:rsid w:val="00061273"/>
    <w:rsid w:val="00071097"/>
    <w:rsid w:val="00075B6D"/>
    <w:rsid w:val="00077B4C"/>
    <w:rsid w:val="000835B4"/>
    <w:rsid w:val="000850D0"/>
    <w:rsid w:val="0008556C"/>
    <w:rsid w:val="000906F0"/>
    <w:rsid w:val="000A19B6"/>
    <w:rsid w:val="000A63D5"/>
    <w:rsid w:val="000B76B0"/>
    <w:rsid w:val="000C1972"/>
    <w:rsid w:val="000D4D33"/>
    <w:rsid w:val="000D6C23"/>
    <w:rsid w:val="000E3927"/>
    <w:rsid w:val="000E4B12"/>
    <w:rsid w:val="000E68BC"/>
    <w:rsid w:val="000E76FF"/>
    <w:rsid w:val="000F2EA7"/>
    <w:rsid w:val="000F3DA6"/>
    <w:rsid w:val="00100CCE"/>
    <w:rsid w:val="00103D6E"/>
    <w:rsid w:val="00104D68"/>
    <w:rsid w:val="00106293"/>
    <w:rsid w:val="00111368"/>
    <w:rsid w:val="0011159C"/>
    <w:rsid w:val="00121672"/>
    <w:rsid w:val="00122A4D"/>
    <w:rsid w:val="001230C3"/>
    <w:rsid w:val="00123103"/>
    <w:rsid w:val="00126CBD"/>
    <w:rsid w:val="00130188"/>
    <w:rsid w:val="00134D52"/>
    <w:rsid w:val="0013654C"/>
    <w:rsid w:val="00137C0A"/>
    <w:rsid w:val="00140A18"/>
    <w:rsid w:val="0015153D"/>
    <w:rsid w:val="0015360E"/>
    <w:rsid w:val="001574CB"/>
    <w:rsid w:val="00164F6F"/>
    <w:rsid w:val="00166962"/>
    <w:rsid w:val="00170A13"/>
    <w:rsid w:val="00177FBA"/>
    <w:rsid w:val="00186D7A"/>
    <w:rsid w:val="0019184C"/>
    <w:rsid w:val="0019625B"/>
    <w:rsid w:val="00197657"/>
    <w:rsid w:val="001A3FAF"/>
    <w:rsid w:val="001A471D"/>
    <w:rsid w:val="001A61B5"/>
    <w:rsid w:val="001B3EC0"/>
    <w:rsid w:val="001B707D"/>
    <w:rsid w:val="001C012D"/>
    <w:rsid w:val="001C316F"/>
    <w:rsid w:val="001C4B60"/>
    <w:rsid w:val="001C6D21"/>
    <w:rsid w:val="001C7383"/>
    <w:rsid w:val="001D0514"/>
    <w:rsid w:val="001D07CA"/>
    <w:rsid w:val="001D3DDC"/>
    <w:rsid w:val="001D4859"/>
    <w:rsid w:val="001D5AD3"/>
    <w:rsid w:val="001D695C"/>
    <w:rsid w:val="001E07D7"/>
    <w:rsid w:val="001E1E25"/>
    <w:rsid w:val="001E43B6"/>
    <w:rsid w:val="001F2BD3"/>
    <w:rsid w:val="001F41BD"/>
    <w:rsid w:val="001F59B1"/>
    <w:rsid w:val="00203F99"/>
    <w:rsid w:val="002068FF"/>
    <w:rsid w:val="0021128C"/>
    <w:rsid w:val="00211569"/>
    <w:rsid w:val="00212CEE"/>
    <w:rsid w:val="0022040C"/>
    <w:rsid w:val="00221A70"/>
    <w:rsid w:val="002277ED"/>
    <w:rsid w:val="002305FC"/>
    <w:rsid w:val="00230ABF"/>
    <w:rsid w:val="00240F37"/>
    <w:rsid w:val="00241DCE"/>
    <w:rsid w:val="002463E2"/>
    <w:rsid w:val="0024772D"/>
    <w:rsid w:val="00247CEB"/>
    <w:rsid w:val="00250707"/>
    <w:rsid w:val="002522B6"/>
    <w:rsid w:val="00256712"/>
    <w:rsid w:val="00257212"/>
    <w:rsid w:val="00262EF9"/>
    <w:rsid w:val="00263CAA"/>
    <w:rsid w:val="00264B84"/>
    <w:rsid w:val="00267ECE"/>
    <w:rsid w:val="00277A12"/>
    <w:rsid w:val="00277FBD"/>
    <w:rsid w:val="002800DB"/>
    <w:rsid w:val="002803A5"/>
    <w:rsid w:val="00280FA5"/>
    <w:rsid w:val="002846E0"/>
    <w:rsid w:val="00287714"/>
    <w:rsid w:val="00293CD6"/>
    <w:rsid w:val="00295D23"/>
    <w:rsid w:val="002A1386"/>
    <w:rsid w:val="002A29FF"/>
    <w:rsid w:val="002A3462"/>
    <w:rsid w:val="002A64CA"/>
    <w:rsid w:val="002A665A"/>
    <w:rsid w:val="002B680E"/>
    <w:rsid w:val="002B6FAB"/>
    <w:rsid w:val="002B71DD"/>
    <w:rsid w:val="002C0633"/>
    <w:rsid w:val="002C1232"/>
    <w:rsid w:val="002C628B"/>
    <w:rsid w:val="002D0197"/>
    <w:rsid w:val="002D2C3F"/>
    <w:rsid w:val="002D3223"/>
    <w:rsid w:val="002D6150"/>
    <w:rsid w:val="002E03AD"/>
    <w:rsid w:val="002E03EB"/>
    <w:rsid w:val="002E08EF"/>
    <w:rsid w:val="002E20C8"/>
    <w:rsid w:val="002E40AE"/>
    <w:rsid w:val="002F2661"/>
    <w:rsid w:val="002F5953"/>
    <w:rsid w:val="002F6C86"/>
    <w:rsid w:val="00300EFD"/>
    <w:rsid w:val="00303BB6"/>
    <w:rsid w:val="00305D4B"/>
    <w:rsid w:val="003139A6"/>
    <w:rsid w:val="00314043"/>
    <w:rsid w:val="003162A3"/>
    <w:rsid w:val="00320263"/>
    <w:rsid w:val="0032055D"/>
    <w:rsid w:val="00321193"/>
    <w:rsid w:val="0032263E"/>
    <w:rsid w:val="003249C3"/>
    <w:rsid w:val="00333532"/>
    <w:rsid w:val="00334CF0"/>
    <w:rsid w:val="0033663A"/>
    <w:rsid w:val="00345718"/>
    <w:rsid w:val="0034687A"/>
    <w:rsid w:val="00351C55"/>
    <w:rsid w:val="0035383D"/>
    <w:rsid w:val="0035544B"/>
    <w:rsid w:val="0035559A"/>
    <w:rsid w:val="00355700"/>
    <w:rsid w:val="00357C62"/>
    <w:rsid w:val="00360313"/>
    <w:rsid w:val="00361508"/>
    <w:rsid w:val="0036169B"/>
    <w:rsid w:val="0036291A"/>
    <w:rsid w:val="003639E8"/>
    <w:rsid w:val="00363D76"/>
    <w:rsid w:val="003643D9"/>
    <w:rsid w:val="00364A72"/>
    <w:rsid w:val="0036656D"/>
    <w:rsid w:val="0036695F"/>
    <w:rsid w:val="00374975"/>
    <w:rsid w:val="00374CFB"/>
    <w:rsid w:val="00374F1F"/>
    <w:rsid w:val="00382531"/>
    <w:rsid w:val="00382A3C"/>
    <w:rsid w:val="003865BF"/>
    <w:rsid w:val="003872B2"/>
    <w:rsid w:val="003874D6"/>
    <w:rsid w:val="00391CC7"/>
    <w:rsid w:val="003961E4"/>
    <w:rsid w:val="003A2AED"/>
    <w:rsid w:val="003A5329"/>
    <w:rsid w:val="003A5332"/>
    <w:rsid w:val="003B0A46"/>
    <w:rsid w:val="003B1319"/>
    <w:rsid w:val="003B76FF"/>
    <w:rsid w:val="003C3ACF"/>
    <w:rsid w:val="003D0DBB"/>
    <w:rsid w:val="003D16DD"/>
    <w:rsid w:val="003D4B1B"/>
    <w:rsid w:val="003E002C"/>
    <w:rsid w:val="003F15F1"/>
    <w:rsid w:val="003F1634"/>
    <w:rsid w:val="003F28C1"/>
    <w:rsid w:val="003F4EEA"/>
    <w:rsid w:val="003F6100"/>
    <w:rsid w:val="0040284A"/>
    <w:rsid w:val="00402E99"/>
    <w:rsid w:val="00404AFE"/>
    <w:rsid w:val="004058FE"/>
    <w:rsid w:val="00405AEC"/>
    <w:rsid w:val="00405D9A"/>
    <w:rsid w:val="004101CA"/>
    <w:rsid w:val="00411C14"/>
    <w:rsid w:val="00415193"/>
    <w:rsid w:val="004154BF"/>
    <w:rsid w:val="00417A27"/>
    <w:rsid w:val="00420C8A"/>
    <w:rsid w:val="00422111"/>
    <w:rsid w:val="00422498"/>
    <w:rsid w:val="00422545"/>
    <w:rsid w:val="0042278A"/>
    <w:rsid w:val="00425E55"/>
    <w:rsid w:val="004263B2"/>
    <w:rsid w:val="00436003"/>
    <w:rsid w:val="00437B05"/>
    <w:rsid w:val="004453C2"/>
    <w:rsid w:val="00447BE7"/>
    <w:rsid w:val="004504ED"/>
    <w:rsid w:val="00450567"/>
    <w:rsid w:val="004540A3"/>
    <w:rsid w:val="0045569E"/>
    <w:rsid w:val="004607F4"/>
    <w:rsid w:val="004612C4"/>
    <w:rsid w:val="00464B5D"/>
    <w:rsid w:val="00465956"/>
    <w:rsid w:val="00470E81"/>
    <w:rsid w:val="00472AE7"/>
    <w:rsid w:val="00473492"/>
    <w:rsid w:val="004743F6"/>
    <w:rsid w:val="00476165"/>
    <w:rsid w:val="00476ADF"/>
    <w:rsid w:val="00476EB5"/>
    <w:rsid w:val="00477ECA"/>
    <w:rsid w:val="00483769"/>
    <w:rsid w:val="00484263"/>
    <w:rsid w:val="00490E20"/>
    <w:rsid w:val="00491F10"/>
    <w:rsid w:val="004966F5"/>
    <w:rsid w:val="004A12B0"/>
    <w:rsid w:val="004A2D03"/>
    <w:rsid w:val="004A493A"/>
    <w:rsid w:val="004A5CBD"/>
    <w:rsid w:val="004B53D3"/>
    <w:rsid w:val="004B5888"/>
    <w:rsid w:val="004B704E"/>
    <w:rsid w:val="004C2E62"/>
    <w:rsid w:val="004C6E22"/>
    <w:rsid w:val="004C6ED3"/>
    <w:rsid w:val="004C747C"/>
    <w:rsid w:val="004C7862"/>
    <w:rsid w:val="004D394A"/>
    <w:rsid w:val="004D563B"/>
    <w:rsid w:val="004E12A2"/>
    <w:rsid w:val="004E5700"/>
    <w:rsid w:val="004F0952"/>
    <w:rsid w:val="004F0B30"/>
    <w:rsid w:val="004F1461"/>
    <w:rsid w:val="004F22B2"/>
    <w:rsid w:val="00502FCA"/>
    <w:rsid w:val="00505240"/>
    <w:rsid w:val="005070C4"/>
    <w:rsid w:val="00507A12"/>
    <w:rsid w:val="0051261F"/>
    <w:rsid w:val="00522013"/>
    <w:rsid w:val="00522755"/>
    <w:rsid w:val="00526E5B"/>
    <w:rsid w:val="00527577"/>
    <w:rsid w:val="00527B95"/>
    <w:rsid w:val="0053590A"/>
    <w:rsid w:val="005366EA"/>
    <w:rsid w:val="00536C5E"/>
    <w:rsid w:val="0053793B"/>
    <w:rsid w:val="00543DF8"/>
    <w:rsid w:val="00553EC2"/>
    <w:rsid w:val="005540AA"/>
    <w:rsid w:val="00555E1D"/>
    <w:rsid w:val="005562B3"/>
    <w:rsid w:val="00565B38"/>
    <w:rsid w:val="005661F1"/>
    <w:rsid w:val="00566D1B"/>
    <w:rsid w:val="00567A02"/>
    <w:rsid w:val="00572DD6"/>
    <w:rsid w:val="00573E04"/>
    <w:rsid w:val="0057510D"/>
    <w:rsid w:val="00575495"/>
    <w:rsid w:val="00580975"/>
    <w:rsid w:val="00585373"/>
    <w:rsid w:val="00592FF9"/>
    <w:rsid w:val="0059707A"/>
    <w:rsid w:val="005974ED"/>
    <w:rsid w:val="005A27B6"/>
    <w:rsid w:val="005A2A93"/>
    <w:rsid w:val="005A3D44"/>
    <w:rsid w:val="005A498A"/>
    <w:rsid w:val="005A5DA9"/>
    <w:rsid w:val="005B021F"/>
    <w:rsid w:val="005B2E0F"/>
    <w:rsid w:val="005B431C"/>
    <w:rsid w:val="005B5791"/>
    <w:rsid w:val="005B5AA2"/>
    <w:rsid w:val="005B6993"/>
    <w:rsid w:val="005B6B21"/>
    <w:rsid w:val="005C0B00"/>
    <w:rsid w:val="005D19E8"/>
    <w:rsid w:val="005D2D06"/>
    <w:rsid w:val="005D3D60"/>
    <w:rsid w:val="005D47B7"/>
    <w:rsid w:val="005D61AC"/>
    <w:rsid w:val="005D74AB"/>
    <w:rsid w:val="005E46D9"/>
    <w:rsid w:val="005E5FC2"/>
    <w:rsid w:val="005F2EA0"/>
    <w:rsid w:val="005F481F"/>
    <w:rsid w:val="005F4EBD"/>
    <w:rsid w:val="005F7A66"/>
    <w:rsid w:val="00601970"/>
    <w:rsid w:val="0060442F"/>
    <w:rsid w:val="00607494"/>
    <w:rsid w:val="0061042F"/>
    <w:rsid w:val="00612576"/>
    <w:rsid w:val="00612DF6"/>
    <w:rsid w:val="006138C5"/>
    <w:rsid w:val="0061577E"/>
    <w:rsid w:val="0061731F"/>
    <w:rsid w:val="006236EC"/>
    <w:rsid w:val="00623AB4"/>
    <w:rsid w:val="00627FD4"/>
    <w:rsid w:val="00631EF4"/>
    <w:rsid w:val="006353B7"/>
    <w:rsid w:val="00636DDB"/>
    <w:rsid w:val="00637AB4"/>
    <w:rsid w:val="006428BD"/>
    <w:rsid w:val="00646C9C"/>
    <w:rsid w:val="00652114"/>
    <w:rsid w:val="00660404"/>
    <w:rsid w:val="006622CC"/>
    <w:rsid w:val="0066527D"/>
    <w:rsid w:val="00665A44"/>
    <w:rsid w:val="006672EE"/>
    <w:rsid w:val="006705AB"/>
    <w:rsid w:val="006740CC"/>
    <w:rsid w:val="00674519"/>
    <w:rsid w:val="00675876"/>
    <w:rsid w:val="00681BC0"/>
    <w:rsid w:val="00681BF4"/>
    <w:rsid w:val="00685108"/>
    <w:rsid w:val="00686F97"/>
    <w:rsid w:val="00690D9A"/>
    <w:rsid w:val="006B0506"/>
    <w:rsid w:val="006B254B"/>
    <w:rsid w:val="006B437F"/>
    <w:rsid w:val="006B7235"/>
    <w:rsid w:val="006C2757"/>
    <w:rsid w:val="006C4729"/>
    <w:rsid w:val="006C64B7"/>
    <w:rsid w:val="006C724D"/>
    <w:rsid w:val="006D3530"/>
    <w:rsid w:val="006D6879"/>
    <w:rsid w:val="006D7757"/>
    <w:rsid w:val="006E097E"/>
    <w:rsid w:val="006E2B8E"/>
    <w:rsid w:val="006F0A60"/>
    <w:rsid w:val="006F0CD3"/>
    <w:rsid w:val="006F6041"/>
    <w:rsid w:val="006F7FDD"/>
    <w:rsid w:val="00701D38"/>
    <w:rsid w:val="00706199"/>
    <w:rsid w:val="007241D8"/>
    <w:rsid w:val="00736505"/>
    <w:rsid w:val="00736A88"/>
    <w:rsid w:val="00737128"/>
    <w:rsid w:val="007377A1"/>
    <w:rsid w:val="007429E0"/>
    <w:rsid w:val="00743627"/>
    <w:rsid w:val="00743B46"/>
    <w:rsid w:val="0074592A"/>
    <w:rsid w:val="0074709A"/>
    <w:rsid w:val="00747604"/>
    <w:rsid w:val="0075337B"/>
    <w:rsid w:val="00755BA4"/>
    <w:rsid w:val="007578AB"/>
    <w:rsid w:val="00757F5F"/>
    <w:rsid w:val="007616D6"/>
    <w:rsid w:val="00762585"/>
    <w:rsid w:val="00763ADE"/>
    <w:rsid w:val="0076451E"/>
    <w:rsid w:val="0076586A"/>
    <w:rsid w:val="0076623A"/>
    <w:rsid w:val="00767608"/>
    <w:rsid w:val="00767B68"/>
    <w:rsid w:val="00767DA1"/>
    <w:rsid w:val="0077114D"/>
    <w:rsid w:val="0077206E"/>
    <w:rsid w:val="00774F15"/>
    <w:rsid w:val="00775981"/>
    <w:rsid w:val="007762A3"/>
    <w:rsid w:val="007769C1"/>
    <w:rsid w:val="007800E2"/>
    <w:rsid w:val="0078125F"/>
    <w:rsid w:val="0078130C"/>
    <w:rsid w:val="00787388"/>
    <w:rsid w:val="00787697"/>
    <w:rsid w:val="00787819"/>
    <w:rsid w:val="0079075F"/>
    <w:rsid w:val="00790AED"/>
    <w:rsid w:val="007918B0"/>
    <w:rsid w:val="007963F9"/>
    <w:rsid w:val="007A48F5"/>
    <w:rsid w:val="007A5AC4"/>
    <w:rsid w:val="007B0C02"/>
    <w:rsid w:val="007B2058"/>
    <w:rsid w:val="007B5DC3"/>
    <w:rsid w:val="007B5F53"/>
    <w:rsid w:val="007B7DD5"/>
    <w:rsid w:val="007C1A9C"/>
    <w:rsid w:val="007D5465"/>
    <w:rsid w:val="007D62D2"/>
    <w:rsid w:val="007D707A"/>
    <w:rsid w:val="007E231F"/>
    <w:rsid w:val="007E46F3"/>
    <w:rsid w:val="007F230C"/>
    <w:rsid w:val="007F361D"/>
    <w:rsid w:val="007F3BD3"/>
    <w:rsid w:val="0080582D"/>
    <w:rsid w:val="0081406E"/>
    <w:rsid w:val="008176F9"/>
    <w:rsid w:val="00833AE8"/>
    <w:rsid w:val="00840525"/>
    <w:rsid w:val="008420A8"/>
    <w:rsid w:val="00842E22"/>
    <w:rsid w:val="0084727A"/>
    <w:rsid w:val="008478D6"/>
    <w:rsid w:val="0085127E"/>
    <w:rsid w:val="00851308"/>
    <w:rsid w:val="00853B3D"/>
    <w:rsid w:val="00853EB0"/>
    <w:rsid w:val="00854C48"/>
    <w:rsid w:val="008575A1"/>
    <w:rsid w:val="00857703"/>
    <w:rsid w:val="008643B1"/>
    <w:rsid w:val="0086782B"/>
    <w:rsid w:val="00870E52"/>
    <w:rsid w:val="0087585A"/>
    <w:rsid w:val="00875A12"/>
    <w:rsid w:val="00876349"/>
    <w:rsid w:val="00877004"/>
    <w:rsid w:val="008770F8"/>
    <w:rsid w:val="008810A5"/>
    <w:rsid w:val="008841C1"/>
    <w:rsid w:val="00887565"/>
    <w:rsid w:val="00893F1E"/>
    <w:rsid w:val="0089489A"/>
    <w:rsid w:val="00897657"/>
    <w:rsid w:val="008A0B16"/>
    <w:rsid w:val="008A46A7"/>
    <w:rsid w:val="008B33D7"/>
    <w:rsid w:val="008B4D57"/>
    <w:rsid w:val="008B5081"/>
    <w:rsid w:val="008C28CF"/>
    <w:rsid w:val="008C5CBF"/>
    <w:rsid w:val="008D6AE4"/>
    <w:rsid w:val="008D6D89"/>
    <w:rsid w:val="008D7794"/>
    <w:rsid w:val="008E0C22"/>
    <w:rsid w:val="008E1675"/>
    <w:rsid w:val="008F2325"/>
    <w:rsid w:val="008F297C"/>
    <w:rsid w:val="00902398"/>
    <w:rsid w:val="00902AD7"/>
    <w:rsid w:val="009039F0"/>
    <w:rsid w:val="00903C9C"/>
    <w:rsid w:val="00904093"/>
    <w:rsid w:val="009044E3"/>
    <w:rsid w:val="00910E0B"/>
    <w:rsid w:val="009155B5"/>
    <w:rsid w:val="00921C13"/>
    <w:rsid w:val="009230E5"/>
    <w:rsid w:val="0093327E"/>
    <w:rsid w:val="00934579"/>
    <w:rsid w:val="0093558B"/>
    <w:rsid w:val="00935CF7"/>
    <w:rsid w:val="009365D2"/>
    <w:rsid w:val="009438F6"/>
    <w:rsid w:val="00943F2E"/>
    <w:rsid w:val="0095083D"/>
    <w:rsid w:val="009529F8"/>
    <w:rsid w:val="00952A92"/>
    <w:rsid w:val="00960A4F"/>
    <w:rsid w:val="009660EC"/>
    <w:rsid w:val="009669F4"/>
    <w:rsid w:val="00967FD4"/>
    <w:rsid w:val="00976B18"/>
    <w:rsid w:val="00981420"/>
    <w:rsid w:val="009821FA"/>
    <w:rsid w:val="0098647E"/>
    <w:rsid w:val="00991DC7"/>
    <w:rsid w:val="00994832"/>
    <w:rsid w:val="00995C28"/>
    <w:rsid w:val="009A0188"/>
    <w:rsid w:val="009A20CD"/>
    <w:rsid w:val="009A655E"/>
    <w:rsid w:val="009B1B69"/>
    <w:rsid w:val="009B63BC"/>
    <w:rsid w:val="009D1B13"/>
    <w:rsid w:val="009D3160"/>
    <w:rsid w:val="009D6485"/>
    <w:rsid w:val="009D711E"/>
    <w:rsid w:val="009E07B9"/>
    <w:rsid w:val="009E37EF"/>
    <w:rsid w:val="009E54A1"/>
    <w:rsid w:val="009E64CC"/>
    <w:rsid w:val="009E794F"/>
    <w:rsid w:val="009F0623"/>
    <w:rsid w:val="009F3356"/>
    <w:rsid w:val="009F7197"/>
    <w:rsid w:val="00A004BC"/>
    <w:rsid w:val="00A03868"/>
    <w:rsid w:val="00A04F02"/>
    <w:rsid w:val="00A05291"/>
    <w:rsid w:val="00A0584E"/>
    <w:rsid w:val="00A05BEC"/>
    <w:rsid w:val="00A112D0"/>
    <w:rsid w:val="00A142CA"/>
    <w:rsid w:val="00A17C91"/>
    <w:rsid w:val="00A17ED1"/>
    <w:rsid w:val="00A248D2"/>
    <w:rsid w:val="00A25F1C"/>
    <w:rsid w:val="00A27F5A"/>
    <w:rsid w:val="00A35DB6"/>
    <w:rsid w:val="00A41A56"/>
    <w:rsid w:val="00A4202A"/>
    <w:rsid w:val="00A43425"/>
    <w:rsid w:val="00A5258D"/>
    <w:rsid w:val="00A56A6D"/>
    <w:rsid w:val="00A576F9"/>
    <w:rsid w:val="00A57DD1"/>
    <w:rsid w:val="00A62E22"/>
    <w:rsid w:val="00A64BC3"/>
    <w:rsid w:val="00A65C35"/>
    <w:rsid w:val="00A71C94"/>
    <w:rsid w:val="00A743E5"/>
    <w:rsid w:val="00A755F0"/>
    <w:rsid w:val="00A759EA"/>
    <w:rsid w:val="00A841BF"/>
    <w:rsid w:val="00A85910"/>
    <w:rsid w:val="00A9164D"/>
    <w:rsid w:val="00A9209C"/>
    <w:rsid w:val="00A9560C"/>
    <w:rsid w:val="00A9697F"/>
    <w:rsid w:val="00AB0821"/>
    <w:rsid w:val="00AC1FD6"/>
    <w:rsid w:val="00AC2F3B"/>
    <w:rsid w:val="00AC4B47"/>
    <w:rsid w:val="00AD0B64"/>
    <w:rsid w:val="00AD4B46"/>
    <w:rsid w:val="00AD6D37"/>
    <w:rsid w:val="00AE7BD8"/>
    <w:rsid w:val="00AF6C5F"/>
    <w:rsid w:val="00AF7F83"/>
    <w:rsid w:val="00B04946"/>
    <w:rsid w:val="00B109D6"/>
    <w:rsid w:val="00B1316F"/>
    <w:rsid w:val="00B145EC"/>
    <w:rsid w:val="00B16FCE"/>
    <w:rsid w:val="00B17F0A"/>
    <w:rsid w:val="00B36EE4"/>
    <w:rsid w:val="00B47C5A"/>
    <w:rsid w:val="00B47E4F"/>
    <w:rsid w:val="00B50662"/>
    <w:rsid w:val="00B50938"/>
    <w:rsid w:val="00B51558"/>
    <w:rsid w:val="00B53A83"/>
    <w:rsid w:val="00B5572A"/>
    <w:rsid w:val="00B60616"/>
    <w:rsid w:val="00B617E4"/>
    <w:rsid w:val="00B61B6E"/>
    <w:rsid w:val="00B70197"/>
    <w:rsid w:val="00B72B4D"/>
    <w:rsid w:val="00B82DAB"/>
    <w:rsid w:val="00B83DC2"/>
    <w:rsid w:val="00B83DF5"/>
    <w:rsid w:val="00B864D8"/>
    <w:rsid w:val="00B911A4"/>
    <w:rsid w:val="00B91AAA"/>
    <w:rsid w:val="00B93C50"/>
    <w:rsid w:val="00B97E0B"/>
    <w:rsid w:val="00BA05E2"/>
    <w:rsid w:val="00BB3BA3"/>
    <w:rsid w:val="00BB427D"/>
    <w:rsid w:val="00BB57F4"/>
    <w:rsid w:val="00BB6B64"/>
    <w:rsid w:val="00BB6E30"/>
    <w:rsid w:val="00BC10C9"/>
    <w:rsid w:val="00BC1B6E"/>
    <w:rsid w:val="00BC29BB"/>
    <w:rsid w:val="00BC3393"/>
    <w:rsid w:val="00BC4DAF"/>
    <w:rsid w:val="00BC6739"/>
    <w:rsid w:val="00BC6B60"/>
    <w:rsid w:val="00BC6EC1"/>
    <w:rsid w:val="00BD23D3"/>
    <w:rsid w:val="00BD23D6"/>
    <w:rsid w:val="00BD4250"/>
    <w:rsid w:val="00BD6D92"/>
    <w:rsid w:val="00BD7365"/>
    <w:rsid w:val="00BE4EDF"/>
    <w:rsid w:val="00BF03F6"/>
    <w:rsid w:val="00BF1828"/>
    <w:rsid w:val="00BF2F68"/>
    <w:rsid w:val="00BF4195"/>
    <w:rsid w:val="00BF4965"/>
    <w:rsid w:val="00C014E4"/>
    <w:rsid w:val="00C05B62"/>
    <w:rsid w:val="00C05F4D"/>
    <w:rsid w:val="00C06766"/>
    <w:rsid w:val="00C11268"/>
    <w:rsid w:val="00C11CCA"/>
    <w:rsid w:val="00C1277A"/>
    <w:rsid w:val="00C12925"/>
    <w:rsid w:val="00C141BC"/>
    <w:rsid w:val="00C17395"/>
    <w:rsid w:val="00C20424"/>
    <w:rsid w:val="00C22FF0"/>
    <w:rsid w:val="00C236FE"/>
    <w:rsid w:val="00C23CB8"/>
    <w:rsid w:val="00C309D1"/>
    <w:rsid w:val="00C34AC5"/>
    <w:rsid w:val="00C36FBE"/>
    <w:rsid w:val="00C37661"/>
    <w:rsid w:val="00C40309"/>
    <w:rsid w:val="00C40CCF"/>
    <w:rsid w:val="00C43325"/>
    <w:rsid w:val="00C4376D"/>
    <w:rsid w:val="00C43A4D"/>
    <w:rsid w:val="00C47CCC"/>
    <w:rsid w:val="00C55CEF"/>
    <w:rsid w:val="00C613C2"/>
    <w:rsid w:val="00C62C35"/>
    <w:rsid w:val="00C674B8"/>
    <w:rsid w:val="00C71B01"/>
    <w:rsid w:val="00C72AB0"/>
    <w:rsid w:val="00C74655"/>
    <w:rsid w:val="00C775BB"/>
    <w:rsid w:val="00C8276C"/>
    <w:rsid w:val="00C87F0E"/>
    <w:rsid w:val="00C92715"/>
    <w:rsid w:val="00C92A03"/>
    <w:rsid w:val="00C945E3"/>
    <w:rsid w:val="00C947C1"/>
    <w:rsid w:val="00C96E8D"/>
    <w:rsid w:val="00C97556"/>
    <w:rsid w:val="00C97BE2"/>
    <w:rsid w:val="00CA1E7F"/>
    <w:rsid w:val="00CA5DBF"/>
    <w:rsid w:val="00CA5F1C"/>
    <w:rsid w:val="00CA6F9E"/>
    <w:rsid w:val="00CB0580"/>
    <w:rsid w:val="00CB1B14"/>
    <w:rsid w:val="00CB1DB4"/>
    <w:rsid w:val="00CB2302"/>
    <w:rsid w:val="00CB50EE"/>
    <w:rsid w:val="00CB50FC"/>
    <w:rsid w:val="00CB7018"/>
    <w:rsid w:val="00CC3327"/>
    <w:rsid w:val="00CC54FC"/>
    <w:rsid w:val="00CC7D1C"/>
    <w:rsid w:val="00CD3E49"/>
    <w:rsid w:val="00CD5264"/>
    <w:rsid w:val="00CD6437"/>
    <w:rsid w:val="00CD72B9"/>
    <w:rsid w:val="00CE044E"/>
    <w:rsid w:val="00CE5714"/>
    <w:rsid w:val="00CE574E"/>
    <w:rsid w:val="00CE5C31"/>
    <w:rsid w:val="00CF1F02"/>
    <w:rsid w:val="00CF2372"/>
    <w:rsid w:val="00CF4325"/>
    <w:rsid w:val="00CF77ED"/>
    <w:rsid w:val="00D07FA9"/>
    <w:rsid w:val="00D12B4D"/>
    <w:rsid w:val="00D1617A"/>
    <w:rsid w:val="00D175E1"/>
    <w:rsid w:val="00D17F80"/>
    <w:rsid w:val="00D25841"/>
    <w:rsid w:val="00D30B4C"/>
    <w:rsid w:val="00D30F0F"/>
    <w:rsid w:val="00D313AF"/>
    <w:rsid w:val="00D340DC"/>
    <w:rsid w:val="00D34573"/>
    <w:rsid w:val="00D3605D"/>
    <w:rsid w:val="00D36934"/>
    <w:rsid w:val="00D419F4"/>
    <w:rsid w:val="00D46A8C"/>
    <w:rsid w:val="00D47390"/>
    <w:rsid w:val="00D57001"/>
    <w:rsid w:val="00D61DC7"/>
    <w:rsid w:val="00D621FD"/>
    <w:rsid w:val="00D63B72"/>
    <w:rsid w:val="00D647E4"/>
    <w:rsid w:val="00D65DEB"/>
    <w:rsid w:val="00D67005"/>
    <w:rsid w:val="00D70389"/>
    <w:rsid w:val="00D74899"/>
    <w:rsid w:val="00D77787"/>
    <w:rsid w:val="00D809A8"/>
    <w:rsid w:val="00D81F1F"/>
    <w:rsid w:val="00D832BF"/>
    <w:rsid w:val="00D83463"/>
    <w:rsid w:val="00D853F3"/>
    <w:rsid w:val="00D86B2B"/>
    <w:rsid w:val="00D91B13"/>
    <w:rsid w:val="00D944D7"/>
    <w:rsid w:val="00DA1D07"/>
    <w:rsid w:val="00DA5455"/>
    <w:rsid w:val="00DB3EB0"/>
    <w:rsid w:val="00DC0942"/>
    <w:rsid w:val="00DC0BBE"/>
    <w:rsid w:val="00DC235C"/>
    <w:rsid w:val="00DC39F6"/>
    <w:rsid w:val="00DC3B22"/>
    <w:rsid w:val="00DC5273"/>
    <w:rsid w:val="00DC6509"/>
    <w:rsid w:val="00DC6552"/>
    <w:rsid w:val="00DC68C6"/>
    <w:rsid w:val="00DC6B06"/>
    <w:rsid w:val="00DC7271"/>
    <w:rsid w:val="00DC7AC1"/>
    <w:rsid w:val="00DC7E0C"/>
    <w:rsid w:val="00DD3DB6"/>
    <w:rsid w:val="00DD49CB"/>
    <w:rsid w:val="00DE03AD"/>
    <w:rsid w:val="00DE0EDA"/>
    <w:rsid w:val="00DE22D5"/>
    <w:rsid w:val="00DE2D1E"/>
    <w:rsid w:val="00DE31D2"/>
    <w:rsid w:val="00DE3C5A"/>
    <w:rsid w:val="00DE50EB"/>
    <w:rsid w:val="00DE59D4"/>
    <w:rsid w:val="00DE7414"/>
    <w:rsid w:val="00DF3ADE"/>
    <w:rsid w:val="00DF4307"/>
    <w:rsid w:val="00DF5922"/>
    <w:rsid w:val="00E00DF4"/>
    <w:rsid w:val="00E035D7"/>
    <w:rsid w:val="00E0400E"/>
    <w:rsid w:val="00E052A6"/>
    <w:rsid w:val="00E05899"/>
    <w:rsid w:val="00E07ACF"/>
    <w:rsid w:val="00E07D40"/>
    <w:rsid w:val="00E11280"/>
    <w:rsid w:val="00E11D42"/>
    <w:rsid w:val="00E13142"/>
    <w:rsid w:val="00E134BE"/>
    <w:rsid w:val="00E17D42"/>
    <w:rsid w:val="00E219CF"/>
    <w:rsid w:val="00E226DD"/>
    <w:rsid w:val="00E2576C"/>
    <w:rsid w:val="00E27AEA"/>
    <w:rsid w:val="00E301E2"/>
    <w:rsid w:val="00E3326E"/>
    <w:rsid w:val="00E33BB3"/>
    <w:rsid w:val="00E3705E"/>
    <w:rsid w:val="00E413E3"/>
    <w:rsid w:val="00E41DE9"/>
    <w:rsid w:val="00E44D12"/>
    <w:rsid w:val="00E507CA"/>
    <w:rsid w:val="00E5247D"/>
    <w:rsid w:val="00E56BF0"/>
    <w:rsid w:val="00E61BDB"/>
    <w:rsid w:val="00E62B5F"/>
    <w:rsid w:val="00E6694D"/>
    <w:rsid w:val="00E7399D"/>
    <w:rsid w:val="00E80462"/>
    <w:rsid w:val="00E86C85"/>
    <w:rsid w:val="00E87070"/>
    <w:rsid w:val="00E90454"/>
    <w:rsid w:val="00E91B3E"/>
    <w:rsid w:val="00E920C2"/>
    <w:rsid w:val="00E94FDC"/>
    <w:rsid w:val="00E960A0"/>
    <w:rsid w:val="00EA062E"/>
    <w:rsid w:val="00EA21FA"/>
    <w:rsid w:val="00EB04ED"/>
    <w:rsid w:val="00EB531E"/>
    <w:rsid w:val="00EB5BC0"/>
    <w:rsid w:val="00EB5D52"/>
    <w:rsid w:val="00EC1C9C"/>
    <w:rsid w:val="00EC362E"/>
    <w:rsid w:val="00EC3FD8"/>
    <w:rsid w:val="00EC5402"/>
    <w:rsid w:val="00EC78E9"/>
    <w:rsid w:val="00ED590F"/>
    <w:rsid w:val="00ED63D6"/>
    <w:rsid w:val="00EE4E0F"/>
    <w:rsid w:val="00EE53E2"/>
    <w:rsid w:val="00EE665B"/>
    <w:rsid w:val="00EE776F"/>
    <w:rsid w:val="00EF30BF"/>
    <w:rsid w:val="00EF574F"/>
    <w:rsid w:val="00EF7537"/>
    <w:rsid w:val="00F01119"/>
    <w:rsid w:val="00F015E7"/>
    <w:rsid w:val="00F07FD4"/>
    <w:rsid w:val="00F136DB"/>
    <w:rsid w:val="00F1631C"/>
    <w:rsid w:val="00F20F07"/>
    <w:rsid w:val="00F215C2"/>
    <w:rsid w:val="00F24938"/>
    <w:rsid w:val="00F24E69"/>
    <w:rsid w:val="00F25167"/>
    <w:rsid w:val="00F262AA"/>
    <w:rsid w:val="00F27676"/>
    <w:rsid w:val="00F27D9E"/>
    <w:rsid w:val="00F34768"/>
    <w:rsid w:val="00F35E4D"/>
    <w:rsid w:val="00F4733D"/>
    <w:rsid w:val="00F502BA"/>
    <w:rsid w:val="00F513C3"/>
    <w:rsid w:val="00F55487"/>
    <w:rsid w:val="00F5753B"/>
    <w:rsid w:val="00F60041"/>
    <w:rsid w:val="00F60B0C"/>
    <w:rsid w:val="00F64933"/>
    <w:rsid w:val="00F64A36"/>
    <w:rsid w:val="00F6530C"/>
    <w:rsid w:val="00F82276"/>
    <w:rsid w:val="00F8567B"/>
    <w:rsid w:val="00F93597"/>
    <w:rsid w:val="00FA0A45"/>
    <w:rsid w:val="00FA2D38"/>
    <w:rsid w:val="00FA4A23"/>
    <w:rsid w:val="00FB0FF9"/>
    <w:rsid w:val="00FB48C4"/>
    <w:rsid w:val="00FB53FA"/>
    <w:rsid w:val="00FC5451"/>
    <w:rsid w:val="00FD2AD5"/>
    <w:rsid w:val="00FD32B2"/>
    <w:rsid w:val="00FD41E0"/>
    <w:rsid w:val="00FD6006"/>
    <w:rsid w:val="00FD6C7A"/>
    <w:rsid w:val="00FE0133"/>
    <w:rsid w:val="00FE0A31"/>
    <w:rsid w:val="00FE7293"/>
    <w:rsid w:val="00FF1622"/>
    <w:rsid w:val="00FF299B"/>
    <w:rsid w:val="00FF3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49A27"/>
  <w15:chartTrackingRefBased/>
  <w15:docId w15:val="{E9B3B5BB-01CE-4D14-A8D0-DD9322472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56C"/>
  </w:style>
  <w:style w:type="paragraph" w:styleId="Heading3">
    <w:name w:val="heading 3"/>
    <w:basedOn w:val="Normal"/>
    <w:link w:val="Heading3Char"/>
    <w:uiPriority w:val="9"/>
    <w:qFormat/>
    <w:rsid w:val="00137C0A"/>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5">
    <w:name w:val="heading 5"/>
    <w:basedOn w:val="Normal"/>
    <w:link w:val="Heading5Char"/>
    <w:uiPriority w:val="9"/>
    <w:qFormat/>
    <w:rsid w:val="00137C0A"/>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37C0A"/>
    <w:rPr>
      <w:rFonts w:ascii="Times New Roman" w:eastAsia="Times New Roman" w:hAnsi="Times New Roman" w:cs="Times New Roman"/>
      <w:b/>
      <w:bCs/>
      <w:kern w:val="0"/>
      <w:sz w:val="27"/>
      <w:szCs w:val="27"/>
      <w14:ligatures w14:val="none"/>
    </w:rPr>
  </w:style>
  <w:style w:type="character" w:customStyle="1" w:styleId="Heading5Char">
    <w:name w:val="Heading 5 Char"/>
    <w:basedOn w:val="DefaultParagraphFont"/>
    <w:link w:val="Heading5"/>
    <w:uiPriority w:val="9"/>
    <w:rsid w:val="00137C0A"/>
    <w:rPr>
      <w:rFonts w:ascii="Times New Roman" w:eastAsia="Times New Roman" w:hAnsi="Times New Roman" w:cs="Times New Roman"/>
      <w:b/>
      <w:bCs/>
      <w:kern w:val="0"/>
      <w:sz w:val="20"/>
      <w:szCs w:val="20"/>
      <w14:ligatures w14:val="none"/>
    </w:rPr>
  </w:style>
  <w:style w:type="paragraph" w:customStyle="1" w:styleId="msonormal0">
    <w:name w:val="msonormal"/>
    <w:basedOn w:val="Normal"/>
    <w:rsid w:val="00137C0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137C0A"/>
    <w:rPr>
      <w:color w:val="0000FF"/>
      <w:u w:val="single"/>
    </w:rPr>
  </w:style>
  <w:style w:type="character" w:styleId="FollowedHyperlink">
    <w:name w:val="FollowedHyperlink"/>
    <w:basedOn w:val="DefaultParagraphFont"/>
    <w:uiPriority w:val="99"/>
    <w:semiHidden/>
    <w:unhideWhenUsed/>
    <w:rsid w:val="00137C0A"/>
    <w:rPr>
      <w:color w:val="800080"/>
      <w:u w:val="single"/>
    </w:rPr>
  </w:style>
  <w:style w:type="paragraph" w:styleId="NormalWeb">
    <w:name w:val="Normal (Web)"/>
    <w:basedOn w:val="Normal"/>
    <w:uiPriority w:val="99"/>
    <w:unhideWhenUsed/>
    <w:rsid w:val="00137C0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ibliography">
    <w:name w:val="Bibliography"/>
    <w:basedOn w:val="Normal"/>
    <w:next w:val="Normal"/>
    <w:uiPriority w:val="37"/>
    <w:unhideWhenUsed/>
    <w:rsid w:val="00AF7F83"/>
  </w:style>
  <w:style w:type="table" w:styleId="ListTable2">
    <w:name w:val="List Table 2"/>
    <w:basedOn w:val="TableNormal"/>
    <w:uiPriority w:val="47"/>
    <w:rsid w:val="00A0584E"/>
    <w:pPr>
      <w:spacing w:after="0" w:line="240" w:lineRule="auto"/>
    </w:pPr>
    <w:rPr>
      <w:rFonts w:ascii="Arial" w:eastAsia="Arial" w:hAnsi="Arial" w:cs="Arial"/>
      <w:kern w:val="0"/>
      <w:lang w:val="vi"/>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EA06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62E"/>
  </w:style>
  <w:style w:type="paragraph" w:styleId="Footer">
    <w:name w:val="footer"/>
    <w:basedOn w:val="Normal"/>
    <w:link w:val="FooterChar"/>
    <w:uiPriority w:val="99"/>
    <w:unhideWhenUsed/>
    <w:rsid w:val="00EA06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62E"/>
  </w:style>
  <w:style w:type="character" w:styleId="UnresolvedMention">
    <w:name w:val="Unresolved Mention"/>
    <w:basedOn w:val="DefaultParagraphFont"/>
    <w:uiPriority w:val="99"/>
    <w:semiHidden/>
    <w:unhideWhenUsed/>
    <w:rsid w:val="00DE31D2"/>
    <w:rPr>
      <w:color w:val="605E5C"/>
      <w:shd w:val="clear" w:color="auto" w:fill="E1DFDD"/>
    </w:rPr>
  </w:style>
  <w:style w:type="paragraph" w:styleId="ListParagraph">
    <w:name w:val="List Paragraph"/>
    <w:basedOn w:val="Normal"/>
    <w:uiPriority w:val="34"/>
    <w:qFormat/>
    <w:rsid w:val="00BC6B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935136">
      <w:bodyDiv w:val="1"/>
      <w:marLeft w:val="0"/>
      <w:marRight w:val="0"/>
      <w:marTop w:val="0"/>
      <w:marBottom w:val="0"/>
      <w:divBdr>
        <w:top w:val="none" w:sz="0" w:space="0" w:color="auto"/>
        <w:left w:val="none" w:sz="0" w:space="0" w:color="auto"/>
        <w:bottom w:val="none" w:sz="0" w:space="0" w:color="auto"/>
        <w:right w:val="none" w:sz="0" w:space="0" w:color="auto"/>
      </w:divBdr>
    </w:div>
    <w:div w:id="919486884">
      <w:bodyDiv w:val="1"/>
      <w:marLeft w:val="0"/>
      <w:marRight w:val="0"/>
      <w:marTop w:val="0"/>
      <w:marBottom w:val="0"/>
      <w:divBdr>
        <w:top w:val="none" w:sz="0" w:space="0" w:color="auto"/>
        <w:left w:val="none" w:sz="0" w:space="0" w:color="auto"/>
        <w:bottom w:val="none" w:sz="0" w:space="0" w:color="auto"/>
        <w:right w:val="none" w:sz="0" w:space="0" w:color="auto"/>
      </w:divBdr>
    </w:div>
    <w:div w:id="940062995">
      <w:bodyDiv w:val="1"/>
      <w:marLeft w:val="0"/>
      <w:marRight w:val="0"/>
      <w:marTop w:val="0"/>
      <w:marBottom w:val="0"/>
      <w:divBdr>
        <w:top w:val="none" w:sz="0" w:space="0" w:color="auto"/>
        <w:left w:val="none" w:sz="0" w:space="0" w:color="auto"/>
        <w:bottom w:val="none" w:sz="0" w:space="0" w:color="auto"/>
        <w:right w:val="none" w:sz="0" w:space="0" w:color="auto"/>
      </w:divBdr>
      <w:divsChild>
        <w:div w:id="423720253">
          <w:marLeft w:val="0"/>
          <w:marRight w:val="0"/>
          <w:marTop w:val="0"/>
          <w:marBottom w:val="0"/>
          <w:divBdr>
            <w:top w:val="none" w:sz="0" w:space="0" w:color="auto"/>
            <w:left w:val="none" w:sz="0" w:space="0" w:color="auto"/>
            <w:bottom w:val="none" w:sz="0" w:space="0" w:color="auto"/>
            <w:right w:val="none" w:sz="0" w:space="0" w:color="auto"/>
          </w:divBdr>
        </w:div>
        <w:div w:id="1477869318">
          <w:marLeft w:val="0"/>
          <w:marRight w:val="0"/>
          <w:marTop w:val="200"/>
          <w:marBottom w:val="0"/>
          <w:divBdr>
            <w:top w:val="none" w:sz="0" w:space="0" w:color="auto"/>
            <w:left w:val="none" w:sz="0" w:space="0" w:color="auto"/>
            <w:bottom w:val="none" w:sz="0" w:space="0" w:color="auto"/>
            <w:right w:val="none" w:sz="0" w:space="0" w:color="auto"/>
          </w:divBdr>
        </w:div>
      </w:divsChild>
    </w:div>
    <w:div w:id="1624187254">
      <w:bodyDiv w:val="1"/>
      <w:marLeft w:val="0"/>
      <w:marRight w:val="0"/>
      <w:marTop w:val="0"/>
      <w:marBottom w:val="0"/>
      <w:divBdr>
        <w:top w:val="none" w:sz="0" w:space="0" w:color="auto"/>
        <w:left w:val="none" w:sz="0" w:space="0" w:color="auto"/>
        <w:bottom w:val="none" w:sz="0" w:space="0" w:color="auto"/>
        <w:right w:val="none" w:sz="0" w:space="0" w:color="auto"/>
      </w:divBdr>
      <w:divsChild>
        <w:div w:id="661541306">
          <w:marLeft w:val="0"/>
          <w:marRight w:val="0"/>
          <w:marTop w:val="0"/>
          <w:marBottom w:val="0"/>
          <w:divBdr>
            <w:top w:val="none" w:sz="0" w:space="0" w:color="auto"/>
            <w:left w:val="none" w:sz="0" w:space="0" w:color="auto"/>
            <w:bottom w:val="none" w:sz="0" w:space="0" w:color="auto"/>
            <w:right w:val="none" w:sz="0" w:space="0" w:color="auto"/>
          </w:divBdr>
          <w:divsChild>
            <w:div w:id="89084911">
              <w:marLeft w:val="0"/>
              <w:marRight w:val="0"/>
              <w:marTop w:val="0"/>
              <w:marBottom w:val="0"/>
              <w:divBdr>
                <w:top w:val="none" w:sz="0" w:space="0" w:color="auto"/>
                <w:left w:val="none" w:sz="0" w:space="0" w:color="auto"/>
                <w:bottom w:val="none" w:sz="0" w:space="0" w:color="auto"/>
                <w:right w:val="none" w:sz="0" w:space="0" w:color="auto"/>
              </w:divBdr>
            </w:div>
          </w:divsChild>
        </w:div>
        <w:div w:id="1279987921">
          <w:marLeft w:val="0"/>
          <w:marRight w:val="0"/>
          <w:marTop w:val="0"/>
          <w:marBottom w:val="0"/>
          <w:divBdr>
            <w:top w:val="none" w:sz="0" w:space="0" w:color="auto"/>
            <w:left w:val="none" w:sz="0" w:space="0" w:color="auto"/>
            <w:bottom w:val="none" w:sz="0" w:space="0" w:color="auto"/>
            <w:right w:val="none" w:sz="0" w:space="0" w:color="auto"/>
          </w:divBdr>
          <w:divsChild>
            <w:div w:id="15667177">
              <w:marLeft w:val="0"/>
              <w:marRight w:val="0"/>
              <w:marTop w:val="0"/>
              <w:marBottom w:val="0"/>
              <w:divBdr>
                <w:top w:val="none" w:sz="0" w:space="0" w:color="auto"/>
                <w:left w:val="none" w:sz="0" w:space="0" w:color="auto"/>
                <w:bottom w:val="none" w:sz="0" w:space="0" w:color="auto"/>
                <w:right w:val="none" w:sz="0" w:space="0" w:color="auto"/>
              </w:divBdr>
              <w:divsChild>
                <w:div w:id="1879008563">
                  <w:marLeft w:val="0"/>
                  <w:marRight w:val="0"/>
                  <w:marTop w:val="0"/>
                  <w:marBottom w:val="0"/>
                  <w:divBdr>
                    <w:top w:val="none" w:sz="0" w:space="0" w:color="auto"/>
                    <w:left w:val="none" w:sz="0" w:space="0" w:color="auto"/>
                    <w:bottom w:val="none" w:sz="0" w:space="0" w:color="auto"/>
                    <w:right w:val="none" w:sz="0" w:space="0" w:color="auto"/>
                  </w:divBdr>
                </w:div>
              </w:divsChild>
            </w:div>
            <w:div w:id="1763181710">
              <w:marLeft w:val="0"/>
              <w:marRight w:val="0"/>
              <w:marTop w:val="0"/>
              <w:marBottom w:val="0"/>
              <w:divBdr>
                <w:top w:val="none" w:sz="0" w:space="0" w:color="auto"/>
                <w:left w:val="none" w:sz="0" w:space="0" w:color="auto"/>
                <w:bottom w:val="none" w:sz="0" w:space="0" w:color="auto"/>
                <w:right w:val="none" w:sz="0" w:space="0" w:color="auto"/>
              </w:divBdr>
              <w:divsChild>
                <w:div w:id="1541745229">
                  <w:marLeft w:val="0"/>
                  <w:marRight w:val="0"/>
                  <w:marTop w:val="0"/>
                  <w:marBottom w:val="0"/>
                  <w:divBdr>
                    <w:top w:val="none" w:sz="0" w:space="0" w:color="auto"/>
                    <w:left w:val="none" w:sz="0" w:space="0" w:color="auto"/>
                    <w:bottom w:val="none" w:sz="0" w:space="0" w:color="auto"/>
                    <w:right w:val="none" w:sz="0" w:space="0" w:color="auto"/>
                  </w:divBdr>
                </w:div>
              </w:divsChild>
            </w:div>
            <w:div w:id="1153569943">
              <w:marLeft w:val="0"/>
              <w:marRight w:val="0"/>
              <w:marTop w:val="0"/>
              <w:marBottom w:val="0"/>
              <w:divBdr>
                <w:top w:val="none" w:sz="0" w:space="0" w:color="auto"/>
                <w:left w:val="none" w:sz="0" w:space="0" w:color="auto"/>
                <w:bottom w:val="none" w:sz="0" w:space="0" w:color="auto"/>
                <w:right w:val="none" w:sz="0" w:space="0" w:color="auto"/>
              </w:divBdr>
              <w:divsChild>
                <w:div w:id="1447311285">
                  <w:marLeft w:val="0"/>
                  <w:marRight w:val="0"/>
                  <w:marTop w:val="0"/>
                  <w:marBottom w:val="0"/>
                  <w:divBdr>
                    <w:top w:val="none" w:sz="0" w:space="0" w:color="auto"/>
                    <w:left w:val="none" w:sz="0" w:space="0" w:color="auto"/>
                    <w:bottom w:val="none" w:sz="0" w:space="0" w:color="auto"/>
                    <w:right w:val="none" w:sz="0" w:space="0" w:color="auto"/>
                  </w:divBdr>
                </w:div>
              </w:divsChild>
            </w:div>
            <w:div w:id="640768822">
              <w:marLeft w:val="0"/>
              <w:marRight w:val="0"/>
              <w:marTop w:val="0"/>
              <w:marBottom w:val="0"/>
              <w:divBdr>
                <w:top w:val="none" w:sz="0" w:space="0" w:color="auto"/>
                <w:left w:val="none" w:sz="0" w:space="0" w:color="auto"/>
                <w:bottom w:val="none" w:sz="0" w:space="0" w:color="auto"/>
                <w:right w:val="none" w:sz="0" w:space="0" w:color="auto"/>
              </w:divBdr>
              <w:divsChild>
                <w:div w:id="20367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1838">
          <w:marLeft w:val="0"/>
          <w:marRight w:val="0"/>
          <w:marTop w:val="0"/>
          <w:marBottom w:val="0"/>
          <w:divBdr>
            <w:top w:val="none" w:sz="0" w:space="0" w:color="auto"/>
            <w:left w:val="none" w:sz="0" w:space="0" w:color="auto"/>
            <w:bottom w:val="none" w:sz="0" w:space="0" w:color="auto"/>
            <w:right w:val="none" w:sz="0" w:space="0" w:color="auto"/>
          </w:divBdr>
          <w:divsChild>
            <w:div w:id="594243814">
              <w:marLeft w:val="0"/>
              <w:marRight w:val="0"/>
              <w:marTop w:val="0"/>
              <w:marBottom w:val="0"/>
              <w:divBdr>
                <w:top w:val="none" w:sz="0" w:space="0" w:color="auto"/>
                <w:left w:val="none" w:sz="0" w:space="0" w:color="auto"/>
                <w:bottom w:val="none" w:sz="0" w:space="0" w:color="auto"/>
                <w:right w:val="none" w:sz="0" w:space="0" w:color="auto"/>
              </w:divBdr>
              <w:divsChild>
                <w:div w:id="619186571">
                  <w:marLeft w:val="0"/>
                  <w:marRight w:val="0"/>
                  <w:marTop w:val="0"/>
                  <w:marBottom w:val="0"/>
                  <w:divBdr>
                    <w:top w:val="none" w:sz="0" w:space="0" w:color="auto"/>
                    <w:left w:val="none" w:sz="0" w:space="0" w:color="auto"/>
                    <w:bottom w:val="none" w:sz="0" w:space="0" w:color="auto"/>
                    <w:right w:val="none" w:sz="0" w:space="0" w:color="auto"/>
                  </w:divBdr>
                </w:div>
                <w:div w:id="1526168686">
                  <w:marLeft w:val="0"/>
                  <w:marRight w:val="0"/>
                  <w:marTop w:val="225"/>
                  <w:marBottom w:val="375"/>
                  <w:divBdr>
                    <w:top w:val="none" w:sz="0" w:space="0" w:color="auto"/>
                    <w:left w:val="none" w:sz="0" w:space="0" w:color="auto"/>
                    <w:bottom w:val="none" w:sz="0" w:space="0" w:color="auto"/>
                    <w:right w:val="none" w:sz="0" w:space="0" w:color="auto"/>
                  </w:divBdr>
                  <w:divsChild>
                    <w:div w:id="686374328">
                      <w:marLeft w:val="0"/>
                      <w:marRight w:val="0"/>
                      <w:marTop w:val="0"/>
                      <w:marBottom w:val="0"/>
                      <w:divBdr>
                        <w:top w:val="none" w:sz="0" w:space="0" w:color="auto"/>
                        <w:left w:val="none" w:sz="0" w:space="0" w:color="auto"/>
                        <w:bottom w:val="none" w:sz="0" w:space="0" w:color="auto"/>
                        <w:right w:val="none" w:sz="0" w:space="0" w:color="auto"/>
                      </w:divBdr>
                    </w:div>
                    <w:div w:id="1698046914">
                      <w:marLeft w:val="0"/>
                      <w:marRight w:val="0"/>
                      <w:marTop w:val="0"/>
                      <w:marBottom w:val="0"/>
                      <w:divBdr>
                        <w:top w:val="none" w:sz="0" w:space="0" w:color="auto"/>
                        <w:left w:val="none" w:sz="0" w:space="0" w:color="auto"/>
                        <w:bottom w:val="none" w:sz="0" w:space="0" w:color="auto"/>
                        <w:right w:val="none" w:sz="0" w:space="0" w:color="auto"/>
                      </w:divBdr>
                      <w:divsChild>
                        <w:div w:id="784160709">
                          <w:marLeft w:val="0"/>
                          <w:marRight w:val="0"/>
                          <w:marTop w:val="0"/>
                          <w:marBottom w:val="0"/>
                          <w:divBdr>
                            <w:top w:val="none" w:sz="0" w:space="0" w:color="auto"/>
                            <w:left w:val="none" w:sz="0" w:space="0" w:color="auto"/>
                            <w:bottom w:val="none" w:sz="0" w:space="0" w:color="auto"/>
                            <w:right w:val="none" w:sz="0" w:space="0" w:color="auto"/>
                          </w:divBdr>
                        </w:div>
                        <w:div w:id="113914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199942">
              <w:marLeft w:val="0"/>
              <w:marRight w:val="0"/>
              <w:marTop w:val="0"/>
              <w:marBottom w:val="0"/>
              <w:divBdr>
                <w:top w:val="none" w:sz="0" w:space="0" w:color="auto"/>
                <w:left w:val="none" w:sz="0" w:space="0" w:color="auto"/>
                <w:bottom w:val="none" w:sz="0" w:space="0" w:color="auto"/>
                <w:right w:val="none" w:sz="0" w:space="0" w:color="auto"/>
              </w:divBdr>
              <w:divsChild>
                <w:div w:id="1114596426">
                  <w:marLeft w:val="0"/>
                  <w:marRight w:val="0"/>
                  <w:marTop w:val="0"/>
                  <w:marBottom w:val="0"/>
                  <w:divBdr>
                    <w:top w:val="none" w:sz="0" w:space="0" w:color="auto"/>
                    <w:left w:val="none" w:sz="0" w:space="0" w:color="auto"/>
                    <w:bottom w:val="none" w:sz="0" w:space="0" w:color="auto"/>
                    <w:right w:val="none" w:sz="0" w:space="0" w:color="auto"/>
                  </w:divBdr>
                </w:div>
                <w:div w:id="1644697666">
                  <w:marLeft w:val="0"/>
                  <w:marRight w:val="0"/>
                  <w:marTop w:val="225"/>
                  <w:marBottom w:val="375"/>
                  <w:divBdr>
                    <w:top w:val="none" w:sz="0" w:space="0" w:color="auto"/>
                    <w:left w:val="none" w:sz="0" w:space="0" w:color="auto"/>
                    <w:bottom w:val="none" w:sz="0" w:space="0" w:color="auto"/>
                    <w:right w:val="none" w:sz="0" w:space="0" w:color="auto"/>
                  </w:divBdr>
                  <w:divsChild>
                    <w:div w:id="203519508">
                      <w:marLeft w:val="0"/>
                      <w:marRight w:val="0"/>
                      <w:marTop w:val="0"/>
                      <w:marBottom w:val="0"/>
                      <w:divBdr>
                        <w:top w:val="none" w:sz="0" w:space="0" w:color="auto"/>
                        <w:left w:val="none" w:sz="0" w:space="0" w:color="auto"/>
                        <w:bottom w:val="none" w:sz="0" w:space="0" w:color="auto"/>
                        <w:right w:val="none" w:sz="0" w:space="0" w:color="auto"/>
                      </w:divBdr>
                    </w:div>
                    <w:div w:id="769474193">
                      <w:marLeft w:val="0"/>
                      <w:marRight w:val="0"/>
                      <w:marTop w:val="0"/>
                      <w:marBottom w:val="0"/>
                      <w:divBdr>
                        <w:top w:val="none" w:sz="0" w:space="0" w:color="auto"/>
                        <w:left w:val="none" w:sz="0" w:space="0" w:color="auto"/>
                        <w:bottom w:val="none" w:sz="0" w:space="0" w:color="auto"/>
                        <w:right w:val="none" w:sz="0" w:space="0" w:color="auto"/>
                      </w:divBdr>
                      <w:divsChild>
                        <w:div w:id="208433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998355">
              <w:marLeft w:val="0"/>
              <w:marRight w:val="0"/>
              <w:marTop w:val="0"/>
              <w:marBottom w:val="0"/>
              <w:divBdr>
                <w:top w:val="none" w:sz="0" w:space="0" w:color="auto"/>
                <w:left w:val="none" w:sz="0" w:space="0" w:color="auto"/>
                <w:bottom w:val="none" w:sz="0" w:space="0" w:color="auto"/>
                <w:right w:val="none" w:sz="0" w:space="0" w:color="auto"/>
              </w:divBdr>
              <w:divsChild>
                <w:div w:id="1747722237">
                  <w:marLeft w:val="0"/>
                  <w:marRight w:val="0"/>
                  <w:marTop w:val="0"/>
                  <w:marBottom w:val="0"/>
                  <w:divBdr>
                    <w:top w:val="none" w:sz="0" w:space="0" w:color="auto"/>
                    <w:left w:val="none" w:sz="0" w:space="0" w:color="auto"/>
                    <w:bottom w:val="none" w:sz="0" w:space="0" w:color="auto"/>
                    <w:right w:val="none" w:sz="0" w:space="0" w:color="auto"/>
                  </w:divBdr>
                </w:div>
                <w:div w:id="1122384643">
                  <w:marLeft w:val="0"/>
                  <w:marRight w:val="0"/>
                  <w:marTop w:val="225"/>
                  <w:marBottom w:val="375"/>
                  <w:divBdr>
                    <w:top w:val="none" w:sz="0" w:space="0" w:color="auto"/>
                    <w:left w:val="none" w:sz="0" w:space="0" w:color="auto"/>
                    <w:bottom w:val="none" w:sz="0" w:space="0" w:color="auto"/>
                    <w:right w:val="none" w:sz="0" w:space="0" w:color="auto"/>
                  </w:divBdr>
                  <w:divsChild>
                    <w:div w:id="956985599">
                      <w:marLeft w:val="0"/>
                      <w:marRight w:val="0"/>
                      <w:marTop w:val="0"/>
                      <w:marBottom w:val="0"/>
                      <w:divBdr>
                        <w:top w:val="none" w:sz="0" w:space="0" w:color="auto"/>
                        <w:left w:val="none" w:sz="0" w:space="0" w:color="auto"/>
                        <w:bottom w:val="none" w:sz="0" w:space="0" w:color="auto"/>
                        <w:right w:val="none" w:sz="0" w:space="0" w:color="auto"/>
                      </w:divBdr>
                    </w:div>
                    <w:div w:id="750852633">
                      <w:marLeft w:val="0"/>
                      <w:marRight w:val="0"/>
                      <w:marTop w:val="0"/>
                      <w:marBottom w:val="0"/>
                      <w:divBdr>
                        <w:top w:val="none" w:sz="0" w:space="0" w:color="auto"/>
                        <w:left w:val="none" w:sz="0" w:space="0" w:color="auto"/>
                        <w:bottom w:val="none" w:sz="0" w:space="0" w:color="auto"/>
                        <w:right w:val="none" w:sz="0" w:space="0" w:color="auto"/>
                      </w:divBdr>
                      <w:divsChild>
                        <w:div w:id="2408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602341">
              <w:marLeft w:val="0"/>
              <w:marRight w:val="0"/>
              <w:marTop w:val="0"/>
              <w:marBottom w:val="0"/>
              <w:divBdr>
                <w:top w:val="none" w:sz="0" w:space="0" w:color="auto"/>
                <w:left w:val="none" w:sz="0" w:space="0" w:color="auto"/>
                <w:bottom w:val="none" w:sz="0" w:space="0" w:color="auto"/>
                <w:right w:val="none" w:sz="0" w:space="0" w:color="auto"/>
              </w:divBdr>
              <w:divsChild>
                <w:div w:id="1508710203">
                  <w:marLeft w:val="0"/>
                  <w:marRight w:val="0"/>
                  <w:marTop w:val="0"/>
                  <w:marBottom w:val="0"/>
                  <w:divBdr>
                    <w:top w:val="none" w:sz="0" w:space="0" w:color="auto"/>
                    <w:left w:val="none" w:sz="0" w:space="0" w:color="auto"/>
                    <w:bottom w:val="none" w:sz="0" w:space="0" w:color="auto"/>
                    <w:right w:val="none" w:sz="0" w:space="0" w:color="auto"/>
                  </w:divBdr>
                </w:div>
                <w:div w:id="368648881">
                  <w:marLeft w:val="0"/>
                  <w:marRight w:val="0"/>
                  <w:marTop w:val="225"/>
                  <w:marBottom w:val="375"/>
                  <w:divBdr>
                    <w:top w:val="none" w:sz="0" w:space="0" w:color="auto"/>
                    <w:left w:val="none" w:sz="0" w:space="0" w:color="auto"/>
                    <w:bottom w:val="none" w:sz="0" w:space="0" w:color="auto"/>
                    <w:right w:val="none" w:sz="0" w:space="0" w:color="auto"/>
                  </w:divBdr>
                  <w:divsChild>
                    <w:div w:id="1855656072">
                      <w:marLeft w:val="0"/>
                      <w:marRight w:val="0"/>
                      <w:marTop w:val="0"/>
                      <w:marBottom w:val="0"/>
                      <w:divBdr>
                        <w:top w:val="none" w:sz="0" w:space="0" w:color="auto"/>
                        <w:left w:val="none" w:sz="0" w:space="0" w:color="auto"/>
                        <w:bottom w:val="none" w:sz="0" w:space="0" w:color="auto"/>
                        <w:right w:val="none" w:sz="0" w:space="0" w:color="auto"/>
                      </w:divBdr>
                      <w:divsChild>
                        <w:div w:id="13982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08057">
                  <w:marLeft w:val="0"/>
                  <w:marRight w:val="0"/>
                  <w:marTop w:val="0"/>
                  <w:marBottom w:val="0"/>
                  <w:divBdr>
                    <w:top w:val="none" w:sz="0" w:space="0" w:color="auto"/>
                    <w:left w:val="none" w:sz="0" w:space="0" w:color="auto"/>
                    <w:bottom w:val="none" w:sz="0" w:space="0" w:color="auto"/>
                    <w:right w:val="none" w:sz="0" w:space="0" w:color="auto"/>
                  </w:divBdr>
                  <w:divsChild>
                    <w:div w:id="92870991">
                      <w:marLeft w:val="0"/>
                      <w:marRight w:val="0"/>
                      <w:marTop w:val="0"/>
                      <w:marBottom w:val="0"/>
                      <w:divBdr>
                        <w:top w:val="none" w:sz="0" w:space="0" w:color="auto"/>
                        <w:left w:val="none" w:sz="0" w:space="0" w:color="auto"/>
                        <w:bottom w:val="none" w:sz="0" w:space="0" w:color="auto"/>
                        <w:right w:val="none" w:sz="0" w:space="0" w:color="auto"/>
                      </w:divBdr>
                    </w:div>
                  </w:divsChild>
                </w:div>
                <w:div w:id="1742486496">
                  <w:marLeft w:val="0"/>
                  <w:marRight w:val="0"/>
                  <w:marTop w:val="225"/>
                  <w:marBottom w:val="375"/>
                  <w:divBdr>
                    <w:top w:val="none" w:sz="0" w:space="0" w:color="auto"/>
                    <w:left w:val="none" w:sz="0" w:space="0" w:color="auto"/>
                    <w:bottom w:val="none" w:sz="0" w:space="0" w:color="auto"/>
                    <w:right w:val="none" w:sz="0" w:space="0" w:color="auto"/>
                  </w:divBdr>
                  <w:divsChild>
                    <w:div w:id="848837249">
                      <w:marLeft w:val="0"/>
                      <w:marRight w:val="0"/>
                      <w:marTop w:val="0"/>
                      <w:marBottom w:val="0"/>
                      <w:divBdr>
                        <w:top w:val="none" w:sz="0" w:space="0" w:color="auto"/>
                        <w:left w:val="none" w:sz="0" w:space="0" w:color="auto"/>
                        <w:bottom w:val="none" w:sz="0" w:space="0" w:color="auto"/>
                        <w:right w:val="none" w:sz="0" w:space="0" w:color="auto"/>
                      </w:divBdr>
                      <w:divsChild>
                        <w:div w:id="7019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707911">
          <w:marLeft w:val="0"/>
          <w:marRight w:val="0"/>
          <w:marTop w:val="0"/>
          <w:marBottom w:val="0"/>
          <w:divBdr>
            <w:top w:val="none" w:sz="0" w:space="0" w:color="auto"/>
            <w:left w:val="none" w:sz="0" w:space="0" w:color="auto"/>
            <w:bottom w:val="none" w:sz="0" w:space="0" w:color="auto"/>
            <w:right w:val="none" w:sz="0" w:space="0" w:color="auto"/>
          </w:divBdr>
          <w:divsChild>
            <w:div w:id="578255317">
              <w:marLeft w:val="0"/>
              <w:marRight w:val="0"/>
              <w:marTop w:val="0"/>
              <w:marBottom w:val="0"/>
              <w:divBdr>
                <w:top w:val="none" w:sz="0" w:space="0" w:color="auto"/>
                <w:left w:val="none" w:sz="0" w:space="0" w:color="auto"/>
                <w:bottom w:val="none" w:sz="0" w:space="0" w:color="auto"/>
                <w:right w:val="none" w:sz="0" w:space="0" w:color="auto"/>
              </w:divBdr>
            </w:div>
            <w:div w:id="393047962">
              <w:marLeft w:val="0"/>
              <w:marRight w:val="0"/>
              <w:marTop w:val="0"/>
              <w:marBottom w:val="0"/>
              <w:divBdr>
                <w:top w:val="none" w:sz="0" w:space="0" w:color="auto"/>
                <w:left w:val="none" w:sz="0" w:space="0" w:color="auto"/>
                <w:bottom w:val="none" w:sz="0" w:space="0" w:color="auto"/>
                <w:right w:val="none" w:sz="0" w:space="0" w:color="auto"/>
              </w:divBdr>
            </w:div>
            <w:div w:id="57436776">
              <w:marLeft w:val="0"/>
              <w:marRight w:val="0"/>
              <w:marTop w:val="0"/>
              <w:marBottom w:val="0"/>
              <w:divBdr>
                <w:top w:val="none" w:sz="0" w:space="0" w:color="auto"/>
                <w:left w:val="none" w:sz="0" w:space="0" w:color="auto"/>
                <w:bottom w:val="none" w:sz="0" w:space="0" w:color="auto"/>
                <w:right w:val="none" w:sz="0" w:space="0" w:color="auto"/>
              </w:divBdr>
            </w:div>
            <w:div w:id="1231961708">
              <w:marLeft w:val="0"/>
              <w:marRight w:val="0"/>
              <w:marTop w:val="0"/>
              <w:marBottom w:val="0"/>
              <w:divBdr>
                <w:top w:val="none" w:sz="0" w:space="0" w:color="auto"/>
                <w:left w:val="none" w:sz="0" w:space="0" w:color="auto"/>
                <w:bottom w:val="none" w:sz="0" w:space="0" w:color="auto"/>
                <w:right w:val="none" w:sz="0" w:space="0" w:color="auto"/>
              </w:divBdr>
            </w:div>
            <w:div w:id="1544364466">
              <w:marLeft w:val="0"/>
              <w:marRight w:val="0"/>
              <w:marTop w:val="0"/>
              <w:marBottom w:val="0"/>
              <w:divBdr>
                <w:top w:val="none" w:sz="0" w:space="0" w:color="auto"/>
                <w:left w:val="none" w:sz="0" w:space="0" w:color="auto"/>
                <w:bottom w:val="none" w:sz="0" w:space="0" w:color="auto"/>
                <w:right w:val="none" w:sz="0" w:space="0" w:color="auto"/>
              </w:divBdr>
            </w:div>
            <w:div w:id="1148861406">
              <w:marLeft w:val="0"/>
              <w:marRight w:val="0"/>
              <w:marTop w:val="0"/>
              <w:marBottom w:val="0"/>
              <w:divBdr>
                <w:top w:val="none" w:sz="0" w:space="0" w:color="auto"/>
                <w:left w:val="none" w:sz="0" w:space="0" w:color="auto"/>
                <w:bottom w:val="none" w:sz="0" w:space="0" w:color="auto"/>
                <w:right w:val="none" w:sz="0" w:space="0" w:color="auto"/>
              </w:divBdr>
            </w:div>
            <w:div w:id="1244140117">
              <w:marLeft w:val="0"/>
              <w:marRight w:val="0"/>
              <w:marTop w:val="0"/>
              <w:marBottom w:val="0"/>
              <w:divBdr>
                <w:top w:val="none" w:sz="0" w:space="0" w:color="auto"/>
                <w:left w:val="none" w:sz="0" w:space="0" w:color="auto"/>
                <w:bottom w:val="none" w:sz="0" w:space="0" w:color="auto"/>
                <w:right w:val="none" w:sz="0" w:space="0" w:color="auto"/>
              </w:divBdr>
            </w:div>
            <w:div w:id="119048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5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74721-26DC-4296-9564-1527298A3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8533</Words>
  <Characters>48640</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Hoai</dc:creator>
  <cp:keywords/>
  <dc:description/>
  <cp:lastModifiedBy>Hoang Hoai</cp:lastModifiedBy>
  <cp:revision>2</cp:revision>
  <dcterms:created xsi:type="dcterms:W3CDTF">2024-08-01T23:41:00Z</dcterms:created>
  <dcterms:modified xsi:type="dcterms:W3CDTF">2024-08-01T23:41:00Z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id="9tZZGYFb"/&gt;&lt;style id="http://www.zotero.org/styles/american-medical-association" hasBibliography="1" bibliographyStyleHasBeenSet="1"/&gt;&lt;prefs&gt;&lt;pref name="fieldType" value="Field"/&gt;&lt;pref name="auto</vt:lpwstr>
  </property>
  <property fmtid="{D5CDD505-2E9C-101B-9397-08002B2CF9AE}" pid="3" name="ZOTERO_PREF_2">
    <vt:lpwstr>maticJournalAbbreviations" value="true"/&gt;&lt;/prefs&gt;&lt;/data&gt;</vt:lpwstr>
  </property>
</Properties>
</file>