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8C" w:rsidRDefault="0076758C" w:rsidP="0026374F">
      <w:pPr>
        <w:shd w:val="clear" w:color="auto" w:fill="FFFFFF"/>
        <w:spacing w:after="0" w:line="240" w:lineRule="auto"/>
        <w:jc w:val="center"/>
        <w:rPr>
          <w:rFonts w:ascii="Times New Roman" w:eastAsia="Times New Roman" w:hAnsi="Times New Roman" w:cs="Times New Roman"/>
          <w:b/>
          <w:sz w:val="26"/>
          <w:szCs w:val="26"/>
        </w:rPr>
      </w:pPr>
      <w:r w:rsidRPr="0026374F">
        <w:rPr>
          <w:rFonts w:ascii="Times New Roman" w:eastAsia="Times New Roman" w:hAnsi="Times New Roman" w:cs="Times New Roman"/>
          <w:b/>
          <w:sz w:val="26"/>
          <w:szCs w:val="26"/>
        </w:rPr>
        <w:t>KẾT QUẢ ĐIỀU TRỊ HÓA CHẤT BƯỚC MỘT BỆNH NHÂN UNG THƯ PH</w:t>
      </w:r>
      <w:r w:rsidR="005A4480" w:rsidRPr="0026374F">
        <w:rPr>
          <w:rFonts w:ascii="Times New Roman" w:eastAsia="Times New Roman" w:hAnsi="Times New Roman" w:cs="Times New Roman"/>
          <w:b/>
          <w:sz w:val="26"/>
          <w:szCs w:val="26"/>
        </w:rPr>
        <w:t xml:space="preserve">ỔI KHÔNG TẾ BÀO NHỎ GIAI ĐOẠN TÁI PHÁT DI CĂN </w:t>
      </w:r>
      <w:r w:rsidRPr="0026374F">
        <w:rPr>
          <w:rFonts w:ascii="Times New Roman" w:eastAsia="Times New Roman" w:hAnsi="Times New Roman" w:cs="Times New Roman"/>
          <w:b/>
          <w:sz w:val="26"/>
          <w:szCs w:val="26"/>
        </w:rPr>
        <w:t>CÓ ĐỘT BIẾN EGFR CHÈN ĐOẠN EXON 20</w:t>
      </w:r>
    </w:p>
    <w:p w:rsidR="00255441" w:rsidRPr="00B60DC2" w:rsidRDefault="00255441" w:rsidP="00255441">
      <w:pPr>
        <w:jc w:val="right"/>
        <w:rPr>
          <w:rFonts w:ascii="Times New Roman" w:hAnsi="Times New Roman" w:cs="Times New Roman"/>
          <w:i/>
          <w:sz w:val="24"/>
          <w:szCs w:val="24"/>
          <w:vertAlign w:val="superscript"/>
        </w:rPr>
      </w:pPr>
      <w:r>
        <w:rPr>
          <w:rFonts w:ascii="Times New Roman" w:hAnsi="Times New Roman" w:cs="Times New Roman"/>
          <w:i/>
          <w:sz w:val="24"/>
          <w:szCs w:val="24"/>
        </w:rPr>
        <w:t>Trần Thị Hậu</w:t>
      </w:r>
      <w:r>
        <w:rPr>
          <w:rFonts w:ascii="Times New Roman" w:hAnsi="Times New Roman" w:cs="Times New Roman"/>
          <w:i/>
          <w:sz w:val="24"/>
          <w:szCs w:val="24"/>
          <w:vertAlign w:val="superscript"/>
        </w:rPr>
        <w:t>1</w:t>
      </w:r>
      <w:r w:rsidRPr="005B1F80">
        <w:rPr>
          <w:rFonts w:ascii="Times New Roman" w:hAnsi="Times New Roman" w:cs="Times New Roman"/>
          <w:i/>
          <w:sz w:val="24"/>
          <w:szCs w:val="24"/>
        </w:rPr>
        <w:t>, Đỗ Hùng Kiên</w:t>
      </w:r>
      <w:r>
        <w:rPr>
          <w:rFonts w:ascii="Times New Roman" w:hAnsi="Times New Roman" w:cs="Times New Roman"/>
          <w:i/>
          <w:sz w:val="24"/>
          <w:szCs w:val="24"/>
          <w:vertAlign w:val="superscript"/>
        </w:rPr>
        <w:t>1</w:t>
      </w:r>
      <w:r>
        <w:rPr>
          <w:rFonts w:ascii="Times New Roman" w:hAnsi="Times New Roman" w:cs="Times New Roman"/>
          <w:i/>
          <w:sz w:val="24"/>
          <w:szCs w:val="24"/>
        </w:rPr>
        <w:t>, Đào Minh Thế</w:t>
      </w:r>
      <w:r>
        <w:rPr>
          <w:rFonts w:ascii="Times New Roman" w:hAnsi="Times New Roman" w:cs="Times New Roman"/>
          <w:i/>
          <w:sz w:val="24"/>
          <w:szCs w:val="24"/>
          <w:vertAlign w:val="superscript"/>
        </w:rPr>
        <w:t>1</w:t>
      </w:r>
    </w:p>
    <w:p w:rsidR="00255441" w:rsidRPr="005B1F80" w:rsidRDefault="00255441" w:rsidP="00255441">
      <w:pPr>
        <w:jc w:val="right"/>
        <w:rPr>
          <w:rFonts w:ascii="Times New Roman" w:hAnsi="Times New Roman" w:cs="Times New Roman"/>
          <w:i/>
          <w:iCs/>
          <w:sz w:val="24"/>
          <w:szCs w:val="24"/>
        </w:rPr>
      </w:pPr>
      <w:r w:rsidRPr="00D2235A">
        <w:rPr>
          <w:rFonts w:ascii="Times New Roman" w:hAnsi="Times New Roman" w:cs="Times New Roman"/>
          <w:i/>
          <w:iCs/>
          <w:sz w:val="24"/>
          <w:szCs w:val="24"/>
          <w:vertAlign w:val="superscript"/>
        </w:rPr>
        <w:t>1</w:t>
      </w:r>
      <w:r w:rsidRPr="00D2235A">
        <w:rPr>
          <w:rFonts w:ascii="Times New Roman" w:hAnsi="Times New Roman" w:cs="Times New Roman"/>
          <w:i/>
          <w:iCs/>
          <w:sz w:val="24"/>
          <w:szCs w:val="24"/>
        </w:rPr>
        <w:t>Bệnh</w:t>
      </w:r>
      <w:r w:rsidRPr="005B1F80">
        <w:rPr>
          <w:rFonts w:ascii="Times New Roman" w:hAnsi="Times New Roman" w:cs="Times New Roman"/>
          <w:i/>
          <w:iCs/>
          <w:sz w:val="24"/>
          <w:szCs w:val="24"/>
        </w:rPr>
        <w:t xml:space="preserve"> viện K</w:t>
      </w:r>
    </w:p>
    <w:p w:rsidR="00255441" w:rsidRDefault="00255441" w:rsidP="00255441">
      <w:pPr>
        <w:jc w:val="both"/>
        <w:rPr>
          <w:rFonts w:ascii="Times New Roman" w:hAnsi="Times New Roman" w:cs="Times New Roman"/>
          <w:iCs/>
          <w:sz w:val="24"/>
          <w:szCs w:val="24"/>
        </w:rPr>
      </w:pPr>
      <w:r>
        <w:rPr>
          <w:rFonts w:ascii="Times New Roman" w:hAnsi="Times New Roman" w:cs="Times New Roman"/>
          <w:iCs/>
          <w:sz w:val="24"/>
          <w:szCs w:val="24"/>
        </w:rPr>
        <w:t>ThS</w:t>
      </w:r>
      <w:r>
        <w:rPr>
          <w:rFonts w:ascii="Times New Roman" w:hAnsi="Times New Roman" w:cs="Times New Roman"/>
          <w:iCs/>
          <w:sz w:val="24"/>
          <w:szCs w:val="24"/>
        </w:rPr>
        <w:t>.BS</w:t>
      </w:r>
      <w:r>
        <w:rPr>
          <w:rFonts w:ascii="Times New Roman" w:hAnsi="Times New Roman" w:cs="Times New Roman"/>
          <w:iCs/>
          <w:sz w:val="24"/>
          <w:szCs w:val="24"/>
        </w:rPr>
        <w:t>NT</w:t>
      </w:r>
      <w:r>
        <w:rPr>
          <w:rFonts w:ascii="Times New Roman" w:hAnsi="Times New Roman" w:cs="Times New Roman"/>
          <w:iCs/>
          <w:sz w:val="24"/>
          <w:szCs w:val="24"/>
        </w:rPr>
        <w:t>.</w:t>
      </w:r>
      <w:r>
        <w:rPr>
          <w:rFonts w:ascii="Times New Roman" w:hAnsi="Times New Roman" w:cs="Times New Roman"/>
          <w:iCs/>
          <w:sz w:val="24"/>
          <w:szCs w:val="24"/>
        </w:rPr>
        <w:t xml:space="preserve"> Trần Thị Hậu</w:t>
      </w:r>
      <w:r>
        <w:rPr>
          <w:rFonts w:ascii="Times New Roman" w:hAnsi="Times New Roman" w:cs="Times New Roman"/>
          <w:iCs/>
          <w:sz w:val="24"/>
          <w:szCs w:val="24"/>
        </w:rPr>
        <w:t xml:space="preserve">, Khoa Nội 1, Bệnh viện K. </w:t>
      </w:r>
    </w:p>
    <w:p w:rsidR="00255441" w:rsidRDefault="00255441" w:rsidP="00255441">
      <w:pPr>
        <w:jc w:val="both"/>
        <w:rPr>
          <w:rFonts w:ascii="Times New Roman" w:hAnsi="Times New Roman" w:cs="Times New Roman"/>
          <w:iCs/>
          <w:sz w:val="24"/>
          <w:szCs w:val="24"/>
        </w:rPr>
      </w:pPr>
      <w:r>
        <w:rPr>
          <w:rFonts w:ascii="Times New Roman" w:hAnsi="Times New Roman" w:cs="Times New Roman"/>
          <w:iCs/>
          <w:sz w:val="24"/>
          <w:szCs w:val="24"/>
        </w:rPr>
        <w:t xml:space="preserve">PGS.TS.BS. Đỗ Hùng Kiên, Phó Giám đốc, Trưởng Khoa Nội 1, Bệnh viện K. </w:t>
      </w:r>
    </w:p>
    <w:p w:rsidR="00255441" w:rsidRPr="002A374F" w:rsidRDefault="00255441" w:rsidP="00255441">
      <w:pPr>
        <w:jc w:val="both"/>
        <w:rPr>
          <w:rFonts w:ascii="Times New Roman" w:hAnsi="Times New Roman" w:cs="Times New Roman"/>
          <w:iCs/>
          <w:sz w:val="24"/>
          <w:szCs w:val="24"/>
        </w:rPr>
      </w:pPr>
      <w:r>
        <w:rPr>
          <w:rFonts w:ascii="Times New Roman" w:hAnsi="Times New Roman" w:cs="Times New Roman"/>
          <w:iCs/>
          <w:sz w:val="24"/>
          <w:szCs w:val="24"/>
        </w:rPr>
        <w:t>ThS.BSNT.</w:t>
      </w:r>
      <w:r>
        <w:rPr>
          <w:rFonts w:ascii="Times New Roman" w:hAnsi="Times New Roman" w:cs="Times New Roman"/>
          <w:iCs/>
          <w:sz w:val="24"/>
          <w:szCs w:val="24"/>
        </w:rPr>
        <w:t xml:space="preserve"> Đào Minh Thế</w:t>
      </w:r>
      <w:r>
        <w:rPr>
          <w:rFonts w:ascii="Times New Roman" w:hAnsi="Times New Roman" w:cs="Times New Roman"/>
          <w:iCs/>
          <w:sz w:val="24"/>
          <w:szCs w:val="24"/>
        </w:rPr>
        <w:t xml:space="preserve">, Khoa Nội 1, Bệnh viện K. </w:t>
      </w:r>
      <w:bookmarkStart w:id="0" w:name="_GoBack"/>
      <w:bookmarkEnd w:id="0"/>
    </w:p>
    <w:p w:rsidR="00255441" w:rsidRPr="005B1F80" w:rsidRDefault="00255441" w:rsidP="00255441">
      <w:pPr>
        <w:jc w:val="both"/>
        <w:rPr>
          <w:rFonts w:ascii="Times New Roman" w:hAnsi="Times New Roman" w:cs="Times New Roman"/>
          <w:i/>
          <w:iCs/>
          <w:sz w:val="24"/>
          <w:szCs w:val="24"/>
        </w:rPr>
      </w:pPr>
      <w:r w:rsidRPr="005B1F80">
        <w:rPr>
          <w:rFonts w:ascii="Times New Roman" w:hAnsi="Times New Roman" w:cs="Times New Roman"/>
          <w:i/>
          <w:iCs/>
          <w:sz w:val="24"/>
          <w:szCs w:val="24"/>
        </w:rPr>
        <w:t xml:space="preserve">Tác giả liên hệ: </w:t>
      </w:r>
      <w:r>
        <w:rPr>
          <w:rFonts w:ascii="Times New Roman" w:hAnsi="Times New Roman" w:cs="Times New Roman"/>
          <w:i/>
          <w:iCs/>
          <w:sz w:val="24"/>
          <w:szCs w:val="24"/>
        </w:rPr>
        <w:t xml:space="preserve">BS. </w:t>
      </w:r>
      <w:r>
        <w:rPr>
          <w:rFonts w:ascii="Times New Roman" w:hAnsi="Times New Roman" w:cs="Times New Roman"/>
          <w:i/>
          <w:iCs/>
          <w:sz w:val="24"/>
          <w:szCs w:val="24"/>
        </w:rPr>
        <w:t>Trần Thị Hậu</w:t>
      </w:r>
    </w:p>
    <w:p w:rsidR="00255441" w:rsidRPr="005B1F80" w:rsidRDefault="00255441" w:rsidP="00255441">
      <w:pPr>
        <w:jc w:val="both"/>
        <w:rPr>
          <w:rFonts w:ascii="Times New Roman" w:hAnsi="Times New Roman" w:cs="Times New Roman"/>
          <w:i/>
          <w:iCs/>
          <w:sz w:val="24"/>
          <w:szCs w:val="24"/>
        </w:rPr>
      </w:pPr>
      <w:r w:rsidRPr="005B1F80">
        <w:rPr>
          <w:rFonts w:ascii="Times New Roman" w:hAnsi="Times New Roman" w:cs="Times New Roman"/>
          <w:i/>
          <w:iCs/>
          <w:sz w:val="24"/>
          <w:szCs w:val="24"/>
        </w:rPr>
        <w:t>Khoa Nội 1 – Bệnh viện K.</w:t>
      </w:r>
    </w:p>
    <w:p w:rsidR="00255441" w:rsidRPr="005B1F80" w:rsidRDefault="00255441" w:rsidP="00255441">
      <w:pPr>
        <w:jc w:val="both"/>
        <w:rPr>
          <w:rFonts w:ascii="Times New Roman" w:hAnsi="Times New Roman" w:cs="Times New Roman"/>
          <w:i/>
          <w:iCs/>
          <w:sz w:val="24"/>
          <w:szCs w:val="24"/>
        </w:rPr>
      </w:pPr>
      <w:r w:rsidRPr="005B1F80">
        <w:rPr>
          <w:rFonts w:ascii="Times New Roman" w:hAnsi="Times New Roman" w:cs="Times New Roman"/>
          <w:i/>
          <w:iCs/>
          <w:sz w:val="24"/>
          <w:szCs w:val="24"/>
        </w:rPr>
        <w:t>Số điện thoạ</w:t>
      </w:r>
      <w:r>
        <w:rPr>
          <w:rFonts w:ascii="Times New Roman" w:hAnsi="Times New Roman" w:cs="Times New Roman"/>
          <w:i/>
          <w:iCs/>
          <w:sz w:val="24"/>
          <w:szCs w:val="24"/>
        </w:rPr>
        <w:t>i: 0373571625</w:t>
      </w:r>
      <w:r w:rsidRPr="005B1F80">
        <w:rPr>
          <w:rFonts w:ascii="Times New Roman" w:hAnsi="Times New Roman" w:cs="Times New Roman"/>
          <w:i/>
          <w:iCs/>
          <w:sz w:val="24"/>
          <w:szCs w:val="24"/>
        </w:rPr>
        <w:t>.</w:t>
      </w:r>
    </w:p>
    <w:p w:rsidR="001155D3" w:rsidRPr="00255441" w:rsidRDefault="00255441" w:rsidP="00255441">
      <w:pPr>
        <w:jc w:val="both"/>
        <w:rPr>
          <w:rFonts w:ascii="Times New Roman" w:hAnsi="Times New Roman" w:cs="Times New Roman"/>
          <w:sz w:val="24"/>
          <w:szCs w:val="24"/>
        </w:rPr>
      </w:pPr>
      <w:r w:rsidRPr="005B1F80">
        <w:rPr>
          <w:rFonts w:ascii="Times New Roman" w:hAnsi="Times New Roman" w:cs="Times New Roman"/>
          <w:i/>
          <w:iCs/>
          <w:sz w:val="24"/>
          <w:szCs w:val="24"/>
        </w:rPr>
        <w:t xml:space="preserve">Email: </w:t>
      </w:r>
      <w:hyperlink r:id="rId6" w:history="1">
        <w:r w:rsidRPr="00C76D45">
          <w:rPr>
            <w:rStyle w:val="Hyperlink"/>
            <w:rFonts w:ascii="Times New Roman" w:hAnsi="Times New Roman" w:cs="Times New Roman"/>
            <w:i/>
            <w:iCs/>
            <w:sz w:val="24"/>
            <w:szCs w:val="24"/>
          </w:rPr>
          <w:t>tranhauhmu@gmail.com</w:t>
        </w:r>
      </w:hyperlink>
    </w:p>
    <w:p w:rsidR="005E5EA5" w:rsidRPr="0026374F" w:rsidRDefault="0026374F" w:rsidP="0026374F">
      <w:pPr>
        <w:shd w:val="clear" w:color="auto" w:fill="FFFFFF"/>
        <w:spacing w:after="0" w:line="240" w:lineRule="auto"/>
        <w:jc w:val="both"/>
        <w:rPr>
          <w:rFonts w:ascii="Times New Roman" w:eastAsia="Times New Roman" w:hAnsi="Times New Roman" w:cs="Times New Roman"/>
          <w:b/>
        </w:rPr>
      </w:pPr>
      <w:r w:rsidRPr="0026374F">
        <w:rPr>
          <w:rFonts w:ascii="Times New Roman" w:eastAsia="Times New Roman" w:hAnsi="Times New Roman" w:cs="Times New Roman"/>
          <w:b/>
        </w:rPr>
        <w:t>TÓM TẮT</w:t>
      </w:r>
    </w:p>
    <w:p w:rsidR="005E5EA5" w:rsidRPr="0026374F" w:rsidRDefault="005E5EA5" w:rsidP="0026374F">
      <w:pPr>
        <w:shd w:val="clear" w:color="auto" w:fill="FFFFFF"/>
        <w:spacing w:after="0" w:line="240" w:lineRule="auto"/>
        <w:jc w:val="both"/>
        <w:rPr>
          <w:rFonts w:ascii="Times New Roman" w:eastAsia="Times New Roman" w:hAnsi="Times New Roman" w:cs="Times New Roman"/>
          <w:sz w:val="24"/>
          <w:szCs w:val="24"/>
        </w:rPr>
      </w:pPr>
      <w:r w:rsidRPr="0026374F">
        <w:rPr>
          <w:rFonts w:ascii="Times New Roman" w:eastAsia="Times New Roman" w:hAnsi="Times New Roman" w:cs="Times New Roman"/>
          <w:b/>
          <w:sz w:val="24"/>
          <w:szCs w:val="24"/>
        </w:rPr>
        <w:t>Đặt vấn đề:</w:t>
      </w:r>
      <w:r w:rsidRPr="0026374F">
        <w:rPr>
          <w:rFonts w:ascii="Times New Roman" w:eastAsia="Times New Roman" w:hAnsi="Times New Roman" w:cs="Times New Roman"/>
          <w:sz w:val="24"/>
          <w:szCs w:val="24"/>
        </w:rPr>
        <w:t xml:space="preserve"> </w:t>
      </w:r>
      <w:r w:rsidR="00B24B4C" w:rsidRPr="0026374F">
        <w:rPr>
          <w:rFonts w:ascii="Times New Roman" w:eastAsia="Times New Roman" w:hAnsi="Times New Roman" w:cs="Times New Roman"/>
          <w:sz w:val="24"/>
          <w:szCs w:val="24"/>
        </w:rPr>
        <w:t xml:space="preserve">Ung thư phổi không tế bào nhỏ (UTPKTBN) có đột biến chèn đoạn exon 20 chiếm 4-10% trong tổng số bệnh nhân UTPKTBN có đột biến EGFR. Điều trị bệnh nhân UTPKTBN giai đoạn tái phát di căn có đột biến EGFR chèn đoạn exon 20 chủ yếu vẫn là hóa chất bộ đôi có platinum. Tuy nhiên tại Việt Nam có rất ít nghiên cứu đánh giá hiệu quả của thuốc. Do đó nghiên cứu được tiến hành nhằm đánh giá hiệu quả của thuốc trên nhóm bệnh nhân trên. </w:t>
      </w:r>
    </w:p>
    <w:p w:rsidR="005E5EA5" w:rsidRPr="0026374F" w:rsidRDefault="005E5EA5" w:rsidP="0026374F">
      <w:pPr>
        <w:shd w:val="clear" w:color="auto" w:fill="FFFFFF"/>
        <w:spacing w:after="0" w:line="240" w:lineRule="auto"/>
        <w:jc w:val="both"/>
        <w:rPr>
          <w:rFonts w:ascii="Times New Roman" w:eastAsia="Times New Roman" w:hAnsi="Times New Roman" w:cs="Times New Roman"/>
          <w:sz w:val="24"/>
          <w:szCs w:val="24"/>
        </w:rPr>
      </w:pPr>
      <w:r w:rsidRPr="0026374F">
        <w:rPr>
          <w:rFonts w:ascii="Times New Roman" w:eastAsia="Times New Roman" w:hAnsi="Times New Roman" w:cs="Times New Roman"/>
          <w:b/>
          <w:sz w:val="24"/>
          <w:szCs w:val="24"/>
        </w:rPr>
        <w:t>Đối tượng và phương pháp nghiên cứu:</w:t>
      </w:r>
      <w:r w:rsidRPr="0026374F">
        <w:rPr>
          <w:rFonts w:ascii="Times New Roman" w:eastAsia="Times New Roman" w:hAnsi="Times New Roman" w:cs="Times New Roman"/>
          <w:sz w:val="24"/>
          <w:szCs w:val="24"/>
        </w:rPr>
        <w:t xml:space="preserve"> Đây là nghiên cứu mô tả cắt ngang hồi cứu trên 36 bệnh nhân ung thư ph</w:t>
      </w:r>
      <w:r w:rsidR="00B24B4C" w:rsidRPr="0026374F">
        <w:rPr>
          <w:rFonts w:ascii="Times New Roman" w:eastAsia="Times New Roman" w:hAnsi="Times New Roman" w:cs="Times New Roman"/>
          <w:sz w:val="24"/>
          <w:szCs w:val="24"/>
        </w:rPr>
        <w:t>ổi không tế bào nhỏ giai đoạn tái phát di căn</w:t>
      </w:r>
      <w:r w:rsidRPr="0026374F">
        <w:rPr>
          <w:rFonts w:ascii="Times New Roman" w:eastAsia="Times New Roman" w:hAnsi="Times New Roman" w:cs="Times New Roman"/>
          <w:sz w:val="24"/>
          <w:szCs w:val="24"/>
        </w:rPr>
        <w:t xml:space="preserve"> có đột biến EGFR chèn đoạn exon 20 được điều trị hóa chất bộ đôi có platinum từ tháng 01/2019 đến tháng 06/202</w:t>
      </w:r>
      <w:r w:rsidR="00B24B4C" w:rsidRPr="0026374F">
        <w:rPr>
          <w:rFonts w:ascii="Times New Roman" w:eastAsia="Times New Roman" w:hAnsi="Times New Roman" w:cs="Times New Roman"/>
          <w:sz w:val="24"/>
          <w:szCs w:val="24"/>
        </w:rPr>
        <w:t>4</w:t>
      </w:r>
      <w:r w:rsidRPr="0026374F">
        <w:rPr>
          <w:rFonts w:ascii="Times New Roman" w:eastAsia="Times New Roman" w:hAnsi="Times New Roman" w:cs="Times New Roman"/>
          <w:sz w:val="24"/>
          <w:szCs w:val="24"/>
        </w:rPr>
        <w:t xml:space="preserve"> tại Bệnh viện K nhằm </w:t>
      </w:r>
      <w:r w:rsidR="00B24B4C" w:rsidRPr="0026374F">
        <w:rPr>
          <w:rFonts w:ascii="Times New Roman" w:eastAsia="Times New Roman" w:hAnsi="Times New Roman" w:cs="Times New Roman"/>
          <w:sz w:val="24"/>
          <w:szCs w:val="24"/>
        </w:rPr>
        <w:t xml:space="preserve">đánh giá kết quả điều trị và tác dụng không mong muốn của phác đồ với nhóm bệnh nhân trên. </w:t>
      </w:r>
    </w:p>
    <w:p w:rsidR="005E5EA5" w:rsidRPr="0026374F" w:rsidRDefault="005E5EA5" w:rsidP="0026374F">
      <w:pPr>
        <w:shd w:val="clear" w:color="auto" w:fill="FFFFFF"/>
        <w:spacing w:after="0" w:line="240" w:lineRule="auto"/>
        <w:jc w:val="both"/>
        <w:rPr>
          <w:rFonts w:ascii="Times New Roman" w:eastAsia="Times New Roman" w:hAnsi="Times New Roman" w:cs="Times New Roman"/>
          <w:sz w:val="24"/>
          <w:szCs w:val="24"/>
        </w:rPr>
      </w:pPr>
      <w:r w:rsidRPr="0026374F">
        <w:rPr>
          <w:rFonts w:ascii="Times New Roman" w:eastAsia="Times New Roman" w:hAnsi="Times New Roman" w:cs="Times New Roman"/>
          <w:b/>
          <w:sz w:val="24"/>
          <w:szCs w:val="24"/>
        </w:rPr>
        <w:t>Kết quả:</w:t>
      </w:r>
      <w:r w:rsidR="00B24B4C" w:rsidRPr="0026374F">
        <w:rPr>
          <w:rFonts w:ascii="Times New Roman" w:eastAsia="Times New Roman" w:hAnsi="Times New Roman" w:cs="Times New Roman"/>
          <w:sz w:val="24"/>
          <w:szCs w:val="24"/>
        </w:rPr>
        <w:t xml:space="preserve"> Tỷ lệ đáp ứng của phác đồ là 25%, tỷ lệ kiểm soát bệnh là 66,7%. Trung vị thời gian sống thêm không</w:t>
      </w:r>
      <w:r w:rsidR="00833664">
        <w:rPr>
          <w:rFonts w:ascii="Times New Roman" w:eastAsia="Times New Roman" w:hAnsi="Times New Roman" w:cs="Times New Roman"/>
          <w:sz w:val="24"/>
          <w:szCs w:val="24"/>
        </w:rPr>
        <w:t xml:space="preserve"> </w:t>
      </w:r>
      <w:r w:rsidR="00833664" w:rsidRPr="0026374F">
        <w:rPr>
          <w:rFonts w:ascii="Times New Roman" w:eastAsia="Times New Roman" w:hAnsi="Times New Roman" w:cs="Times New Roman"/>
          <w:sz w:val="24"/>
          <w:szCs w:val="24"/>
        </w:rPr>
        <w:t>bệnh</w:t>
      </w:r>
      <w:r w:rsidR="00B24B4C" w:rsidRPr="0026374F">
        <w:rPr>
          <w:rFonts w:ascii="Times New Roman" w:eastAsia="Times New Roman" w:hAnsi="Times New Roman" w:cs="Times New Roman"/>
          <w:sz w:val="24"/>
          <w:szCs w:val="24"/>
        </w:rPr>
        <w:t xml:space="preserve"> tiến triển  (PFS) là 7,0 tháng. Trung vị thời gian sống thêm toàn bộ (OS) là 17,6 tháng. Phần lớn bệnh nhân có ít nhất một tác dụng phụ chiếm 80,6%. Các tác dụng phụ phổ biến nhất là giảm bạch cầu trung tính (ở 58% bệnh nhân) và </w:t>
      </w:r>
      <w:r w:rsidR="0026374F">
        <w:rPr>
          <w:rFonts w:ascii="Times New Roman" w:eastAsia="Times New Roman" w:hAnsi="Times New Roman" w:cs="Times New Roman"/>
          <w:sz w:val="24"/>
          <w:szCs w:val="24"/>
        </w:rPr>
        <w:t xml:space="preserve">độc tính thần kinh ngoại vi </w:t>
      </w:r>
      <w:r w:rsidR="00B24B4C" w:rsidRPr="0026374F">
        <w:rPr>
          <w:rFonts w:ascii="Times New Roman" w:eastAsia="Times New Roman" w:hAnsi="Times New Roman" w:cs="Times New Roman"/>
          <w:sz w:val="24"/>
          <w:szCs w:val="24"/>
        </w:rPr>
        <w:t>(44%), thiếu máu (48%) và buồn nôn (42%). Các tác dụng phụ phổ biến nhất ở mức độ 3 trở lên là giảm bạch cầu trung tính (25%), giảm tiểu cầu (6%), thiếu máu (8%). Các tác dụng phụ dẫn đến giảm liều và ngừng thuốc đã được báo cáo ở 17% và 8% bệnh nhân.</w:t>
      </w:r>
    </w:p>
    <w:p w:rsidR="005E5EA5" w:rsidRPr="0026374F" w:rsidRDefault="005E5EA5" w:rsidP="0026374F">
      <w:pPr>
        <w:shd w:val="clear" w:color="auto" w:fill="FFFFFF"/>
        <w:spacing w:after="0" w:line="240" w:lineRule="auto"/>
        <w:jc w:val="both"/>
        <w:rPr>
          <w:rFonts w:ascii="Times New Roman" w:eastAsia="Times New Roman" w:hAnsi="Times New Roman" w:cs="Times New Roman"/>
          <w:sz w:val="24"/>
          <w:szCs w:val="24"/>
        </w:rPr>
      </w:pPr>
      <w:r w:rsidRPr="0026374F">
        <w:rPr>
          <w:rFonts w:ascii="Times New Roman" w:eastAsia="Times New Roman" w:hAnsi="Times New Roman" w:cs="Times New Roman"/>
          <w:b/>
          <w:sz w:val="24"/>
          <w:szCs w:val="24"/>
        </w:rPr>
        <w:t>Kết luận:</w:t>
      </w:r>
      <w:r w:rsidR="00B24B4C" w:rsidRPr="0026374F">
        <w:rPr>
          <w:rFonts w:ascii="Times New Roman" w:eastAsia="Times New Roman" w:hAnsi="Times New Roman" w:cs="Times New Roman"/>
          <w:sz w:val="24"/>
          <w:szCs w:val="24"/>
        </w:rPr>
        <w:t xml:space="preserve"> Hóa chất bộ đôi có platinum điều trị bước một bệnh nhân ung thư phổi không tế bào nhỏ giai đoạn tái phát di căn là phương pháp điều trị có hiệu quả với độc tính kiểm soát được. </w:t>
      </w:r>
    </w:p>
    <w:p w:rsidR="005E5EA5" w:rsidRDefault="005E5EA5" w:rsidP="0026374F">
      <w:pPr>
        <w:shd w:val="clear" w:color="auto" w:fill="FFFFFF"/>
        <w:spacing w:after="0" w:line="240" w:lineRule="auto"/>
        <w:jc w:val="both"/>
        <w:rPr>
          <w:rFonts w:ascii="Times New Roman" w:eastAsia="Times New Roman" w:hAnsi="Times New Roman" w:cs="Times New Roman"/>
          <w:sz w:val="24"/>
          <w:szCs w:val="24"/>
        </w:rPr>
      </w:pPr>
      <w:r w:rsidRPr="0026374F">
        <w:rPr>
          <w:rFonts w:ascii="Times New Roman" w:eastAsia="Times New Roman" w:hAnsi="Times New Roman" w:cs="Times New Roman"/>
          <w:b/>
          <w:sz w:val="24"/>
          <w:szCs w:val="24"/>
        </w:rPr>
        <w:t>Từ khóa:</w:t>
      </w:r>
      <w:r w:rsidRPr="0026374F">
        <w:rPr>
          <w:rFonts w:ascii="Times New Roman" w:eastAsia="Times New Roman" w:hAnsi="Times New Roman" w:cs="Times New Roman"/>
          <w:sz w:val="24"/>
          <w:szCs w:val="24"/>
        </w:rPr>
        <w:t xml:space="preserve"> ung thư phổi không tế bào nhỏ, EGFR chèn đoạn exon 20, hóa chất bộ đôi có platinum. </w:t>
      </w:r>
    </w:p>
    <w:p w:rsidR="0026374F" w:rsidRDefault="0026374F" w:rsidP="0026374F">
      <w:pPr>
        <w:shd w:val="clear" w:color="auto" w:fill="FFFFFF"/>
        <w:spacing w:after="0" w:line="240" w:lineRule="auto"/>
        <w:jc w:val="both"/>
        <w:rPr>
          <w:rFonts w:ascii="Times New Roman" w:eastAsia="Times New Roman" w:hAnsi="Times New Roman" w:cs="Times New Roman"/>
          <w:b/>
        </w:rPr>
      </w:pPr>
      <w:r w:rsidRPr="0026374F">
        <w:rPr>
          <w:rFonts w:ascii="Times New Roman" w:eastAsia="Times New Roman" w:hAnsi="Times New Roman" w:cs="Times New Roman"/>
          <w:b/>
        </w:rPr>
        <w:t>ABSTRACT</w:t>
      </w:r>
    </w:p>
    <w:p w:rsidR="001155D3" w:rsidRPr="001155D3" w:rsidRDefault="001155D3" w:rsidP="001155D3">
      <w:pPr>
        <w:shd w:val="clear" w:color="auto" w:fill="FFFFFF"/>
        <w:spacing w:after="0" w:line="240" w:lineRule="auto"/>
        <w:jc w:val="both"/>
        <w:rPr>
          <w:rFonts w:ascii="Times New Roman" w:eastAsia="Times New Roman" w:hAnsi="Times New Roman" w:cs="Times New Roman"/>
          <w:sz w:val="24"/>
          <w:szCs w:val="24"/>
        </w:rPr>
      </w:pPr>
      <w:r w:rsidRPr="001155D3">
        <w:rPr>
          <w:rFonts w:ascii="Times New Roman" w:eastAsia="Times New Roman" w:hAnsi="Times New Roman" w:cs="Times New Roman"/>
          <w:b/>
          <w:sz w:val="24"/>
          <w:szCs w:val="24"/>
        </w:rPr>
        <w:t>Introduction:</w:t>
      </w:r>
      <w:r w:rsidRPr="001155D3">
        <w:rPr>
          <w:rFonts w:ascii="Times New Roman" w:eastAsia="Times New Roman" w:hAnsi="Times New Roman" w:cs="Times New Roman"/>
          <w:sz w:val="24"/>
          <w:szCs w:val="24"/>
        </w:rPr>
        <w:t xml:space="preserve"> Non-small cell lung cancer (NSCLC) with exon 20 insertion mutations accounts for 4-10% of all NSCLC patients with EGFR mutations. The primary treatment for NSCLC patients with recurrent metastatic EGFR exon 20 insertion mutations remains platinum-based doublet chemotherapy. However, there are very few studies in Vietnam evaluating the effectiveness of this treatment. Therefore, this study was conducted to evaluate the effectiveness of this therapy in the mentioned patient group.</w:t>
      </w:r>
    </w:p>
    <w:p w:rsidR="001155D3" w:rsidRPr="001155D3" w:rsidRDefault="001155D3" w:rsidP="001155D3">
      <w:pPr>
        <w:shd w:val="clear" w:color="auto" w:fill="FFFFFF"/>
        <w:spacing w:after="0" w:line="240" w:lineRule="auto"/>
        <w:jc w:val="both"/>
        <w:rPr>
          <w:rFonts w:ascii="Times New Roman" w:eastAsia="Times New Roman" w:hAnsi="Times New Roman" w:cs="Times New Roman"/>
          <w:sz w:val="24"/>
          <w:szCs w:val="24"/>
        </w:rPr>
      </w:pPr>
      <w:r w:rsidRPr="001155D3">
        <w:rPr>
          <w:rFonts w:ascii="Times New Roman" w:eastAsia="Times New Roman" w:hAnsi="Times New Roman" w:cs="Times New Roman"/>
          <w:b/>
          <w:sz w:val="24"/>
          <w:szCs w:val="24"/>
        </w:rPr>
        <w:t>Subjects and Methods:</w:t>
      </w:r>
      <w:r w:rsidRPr="001155D3">
        <w:rPr>
          <w:rFonts w:ascii="Times New Roman" w:eastAsia="Times New Roman" w:hAnsi="Times New Roman" w:cs="Times New Roman"/>
          <w:sz w:val="24"/>
          <w:szCs w:val="24"/>
        </w:rPr>
        <w:t xml:space="preserve"> This is a retrospective cross-sectional descriptive study on 36 NSCLC patients with recurrent metastatic EGFR exon 20 insertion mutations treated with platinum-based </w:t>
      </w:r>
      <w:r w:rsidRPr="001155D3">
        <w:rPr>
          <w:rFonts w:ascii="Times New Roman" w:eastAsia="Times New Roman" w:hAnsi="Times New Roman" w:cs="Times New Roman"/>
          <w:sz w:val="24"/>
          <w:szCs w:val="24"/>
        </w:rPr>
        <w:lastRenderedPageBreak/>
        <w:t>doublet chemotherapy from January 2019 to June 2024 at K Hospital to evaluate treatment outcomes and adverse effects of the regimen in this patient group.</w:t>
      </w:r>
    </w:p>
    <w:p w:rsidR="001155D3" w:rsidRPr="001155D3" w:rsidRDefault="001155D3" w:rsidP="001155D3">
      <w:pPr>
        <w:shd w:val="clear" w:color="auto" w:fill="FFFFFF"/>
        <w:spacing w:after="0" w:line="240" w:lineRule="auto"/>
        <w:jc w:val="both"/>
        <w:rPr>
          <w:rFonts w:ascii="Times New Roman" w:eastAsia="Times New Roman" w:hAnsi="Times New Roman" w:cs="Times New Roman"/>
          <w:sz w:val="24"/>
          <w:szCs w:val="24"/>
        </w:rPr>
      </w:pPr>
      <w:r w:rsidRPr="001155D3">
        <w:rPr>
          <w:rFonts w:ascii="Times New Roman" w:eastAsia="Times New Roman" w:hAnsi="Times New Roman" w:cs="Times New Roman"/>
          <w:b/>
          <w:sz w:val="24"/>
          <w:szCs w:val="24"/>
        </w:rPr>
        <w:t>Results:</w:t>
      </w:r>
      <w:r w:rsidRPr="001155D3">
        <w:rPr>
          <w:rFonts w:ascii="Times New Roman" w:eastAsia="Times New Roman" w:hAnsi="Times New Roman" w:cs="Times New Roman"/>
          <w:sz w:val="24"/>
          <w:szCs w:val="24"/>
        </w:rPr>
        <w:t xml:space="preserve"> The response rate of the regimen was 25%, and the disease control rate was 66.7%. The median progression-free survival (PFS) was 7.0 months. The median overall survival (OS) was 17.6 months. The majority of patients experienced at least one adverse effect, accounting for 80.6%. The most common adverse effects were neutropenia (in 58% of patients), peripheral neuropathy (44%), anemia (48%), and nausea (42%). The most common grade 3 or higher adverse effects were neutropenia (25%), thrombocytopenia (6%), and anemia (8%). Dose reductions and drug discontinuations due to adverse effects were reported in 17% and 8% of patients, respectively.</w:t>
      </w:r>
    </w:p>
    <w:p w:rsidR="001155D3" w:rsidRPr="001155D3" w:rsidRDefault="001155D3" w:rsidP="001155D3">
      <w:pPr>
        <w:shd w:val="clear" w:color="auto" w:fill="FFFFFF"/>
        <w:spacing w:after="0" w:line="240" w:lineRule="auto"/>
        <w:jc w:val="both"/>
        <w:rPr>
          <w:rFonts w:ascii="Times New Roman" w:eastAsia="Times New Roman" w:hAnsi="Times New Roman" w:cs="Times New Roman"/>
          <w:sz w:val="24"/>
          <w:szCs w:val="24"/>
        </w:rPr>
      </w:pPr>
      <w:r w:rsidRPr="007935DF">
        <w:rPr>
          <w:rFonts w:ascii="Times New Roman" w:eastAsia="Times New Roman" w:hAnsi="Times New Roman" w:cs="Times New Roman"/>
          <w:b/>
          <w:sz w:val="24"/>
          <w:szCs w:val="24"/>
        </w:rPr>
        <w:t>Conclusion:</w:t>
      </w:r>
      <w:r w:rsidRPr="001155D3">
        <w:rPr>
          <w:rFonts w:ascii="Times New Roman" w:eastAsia="Times New Roman" w:hAnsi="Times New Roman" w:cs="Times New Roman"/>
          <w:sz w:val="24"/>
          <w:szCs w:val="24"/>
        </w:rPr>
        <w:t xml:space="preserve"> Platinum-based doublet chemotherapy as the first-line treatment for NSCLC patients with recurrent metastatic disease is an effective treatment with manageable toxicity.</w:t>
      </w:r>
    </w:p>
    <w:p w:rsidR="0076758C" w:rsidRPr="0026374F" w:rsidRDefault="001155D3" w:rsidP="001155D3">
      <w:pPr>
        <w:shd w:val="clear" w:color="auto" w:fill="FFFFFF"/>
        <w:spacing w:after="0" w:line="240" w:lineRule="auto"/>
        <w:jc w:val="both"/>
        <w:rPr>
          <w:rFonts w:ascii="Times New Roman" w:eastAsia="Times New Roman" w:hAnsi="Times New Roman" w:cs="Times New Roman"/>
          <w:sz w:val="24"/>
          <w:szCs w:val="24"/>
        </w:rPr>
      </w:pPr>
      <w:r w:rsidRPr="007935DF">
        <w:rPr>
          <w:rFonts w:ascii="Times New Roman" w:eastAsia="Times New Roman" w:hAnsi="Times New Roman" w:cs="Times New Roman"/>
          <w:b/>
          <w:sz w:val="24"/>
          <w:szCs w:val="24"/>
        </w:rPr>
        <w:t>Keywords:</w:t>
      </w:r>
      <w:r w:rsidRPr="001155D3">
        <w:rPr>
          <w:rFonts w:ascii="Times New Roman" w:eastAsia="Times New Roman" w:hAnsi="Times New Roman" w:cs="Times New Roman"/>
          <w:sz w:val="24"/>
          <w:szCs w:val="24"/>
        </w:rPr>
        <w:t xml:space="preserve"> Non-small cell lung cancer, EGFR exon 20 insertion, platinum-based doublet chemotherapy.</w:t>
      </w:r>
    </w:p>
    <w:p w:rsidR="00D00B7A" w:rsidRPr="00B164AE" w:rsidRDefault="0026374F" w:rsidP="0026374F">
      <w:pPr>
        <w:spacing w:after="0" w:line="240" w:lineRule="auto"/>
        <w:jc w:val="both"/>
        <w:rPr>
          <w:rFonts w:ascii="Times New Roman" w:hAnsi="Times New Roman" w:cs="Times New Roman"/>
          <w:b/>
          <w:sz w:val="24"/>
          <w:szCs w:val="24"/>
          <w:shd w:val="clear" w:color="auto" w:fill="FFFFFF"/>
        </w:rPr>
      </w:pPr>
      <w:r w:rsidRPr="00B164AE">
        <w:rPr>
          <w:rFonts w:ascii="Times New Roman" w:hAnsi="Times New Roman" w:cs="Times New Roman"/>
          <w:b/>
          <w:sz w:val="24"/>
          <w:szCs w:val="24"/>
          <w:shd w:val="clear" w:color="auto" w:fill="FFFFFF"/>
        </w:rPr>
        <w:t xml:space="preserve">I. </w:t>
      </w:r>
      <w:r w:rsidR="0076758C" w:rsidRPr="00B164AE">
        <w:rPr>
          <w:rFonts w:ascii="Times New Roman" w:hAnsi="Times New Roman" w:cs="Times New Roman"/>
          <w:b/>
          <w:sz w:val="24"/>
          <w:szCs w:val="24"/>
          <w:shd w:val="clear" w:color="auto" w:fill="FFFFFF"/>
        </w:rPr>
        <w:t>ĐẶT VẤN ĐỀ</w:t>
      </w:r>
    </w:p>
    <w:p w:rsidR="00DF34D9" w:rsidRPr="0026374F" w:rsidRDefault="008E64DD" w:rsidP="00043A74">
      <w:pPr>
        <w:spacing w:after="0" w:line="240" w:lineRule="auto"/>
        <w:ind w:firstLine="720"/>
        <w:jc w:val="both"/>
        <w:rPr>
          <w:rFonts w:ascii="Times New Roman" w:hAnsi="Times New Roman" w:cs="Times New Roman"/>
          <w:sz w:val="24"/>
          <w:szCs w:val="24"/>
        </w:rPr>
      </w:pPr>
      <w:r w:rsidRPr="0026374F">
        <w:rPr>
          <w:rFonts w:ascii="Times New Roman" w:hAnsi="Times New Roman" w:cs="Times New Roman"/>
          <w:sz w:val="24"/>
          <w:szCs w:val="24"/>
        </w:rPr>
        <w:t xml:space="preserve">Ung thư phổi (UTP) là bệnh lý ác tính phổ biến nhất và là nguyên nhân hàng đầu gây tử vong do ung thư trên toàn thế giới, trong đó ung thư phổi không phải tế bào nhỏ (UTPKKTBN) chiếm phần lớn (85%) trong tất cả các bệnh ác tính ở phổi. </w:t>
      </w:r>
      <w:r w:rsidR="00C55B2A" w:rsidRPr="0026374F">
        <w:rPr>
          <w:rFonts w:ascii="Times New Roman" w:hAnsi="Times New Roman" w:cs="Times New Roman"/>
          <w:sz w:val="24"/>
          <w:szCs w:val="24"/>
        </w:rPr>
        <w:fldChar w:fldCharType="begin"/>
      </w:r>
      <w:r w:rsidR="00C55B2A" w:rsidRPr="0026374F">
        <w:rPr>
          <w:rFonts w:ascii="Times New Roman" w:hAnsi="Times New Roman" w:cs="Times New Roman"/>
          <w:sz w:val="24"/>
          <w:szCs w:val="24"/>
        </w:rPr>
        <w:instrText xml:space="preserve"> ADDIN ZOTERO_ITEM CSL_CITATION {"citationID":"97pfOums","properties":{"formattedCitation":"\\super 1\\nosupersub{}","plainCitation":"1","noteIndex":0},"citationItems":[{"id":276,"uris":["http://zotero.org/users/12066239/items/CK6QEF3C"],"itemData":{"id":276,"type":"article-journal","abstract":"Lung cancer is the leading cause of cancer-related mortality not only in the United States but also around the world. In North America, lung cancer has become more predominant among former than current smokers. Yet in some countries, such as China, which has experienced a dramatic increase in the cigarette smoking rate during the past 2 decades, a peak in lung cancer incidence is still expected. Approximately two-thirds of adult Chinese men are smokers, representing one-third of all smokers worldwide. Non-small cell lung cancer accounts for 85% of all lung cancer cases in the United States. After the initial diagnosis, accurate staging of non-small cell lung cancer using computed tomography or positron emission tomography is crucial for determining appropriate therapy. When feasible, surgical resection remains the single most consistent and successful option for cure. However, close to 70% of patients with lung cancer present with locally advanced or metastatic disease at the time of diagnosis. Chemotherapy is beneficial for patients with metastatic disease, and the administration of concurrent chemotherapy and radiation is indicated for stage III lung cancer. The introduction of angiogenesis, epidermal growth factor receptor inhibitors, and other new anti-cancer agents is changing the present and future of this disease and will certainly increase the number of lung cancer survivors. We identified studies for this review by searching the MEDLINE and PubMed databases for English-language articles published from January 1, 1980, through January 31, 2008. Key terms used for this search included non-small cell lung cancer, adenocarcinoma, squamous cell carcinoma, bronchioalveolar cell carcinoma, large cell carcinoma, lung cancer epidemiology, genetics, survivorship, surgery, radiation therapy, chemotherapy, targeted therapy, bevacizumab, erlotinib, and epidermal growth factor receptor.","container-title":"Mayo Clinic Proceedings","DOI":"10.4065/83.5.584","ISSN":"1942-5546","issue":"5","journalAbbreviation":"Mayo Clin Proc","language":"eng","note":"PMID: 18452692\nPMCID: PMC2718421","page":"584-594","source":"PubMed","title":"Non-small cell lung cancer: epidemiology, risk factors, treatment, and survivorship","title-short":"Non-small cell lung cancer","volume":"83","author":[{"family":"Molina","given":"Julian R."},{"family":"Yang","given":"Ping"},{"family":"Cassivi","given":"Stephen D."},{"family":"Schild","given":"Steven E."},{"family":"Adjei","given":"Alex A."}],"issued":{"date-parts":[["2008",5]]}}}],"schema":"https://github.com/citation-style-language/schema/raw/master/csl-citation.json"} </w:instrText>
      </w:r>
      <w:r w:rsidR="00C55B2A" w:rsidRPr="0026374F">
        <w:rPr>
          <w:rFonts w:ascii="Times New Roman" w:hAnsi="Times New Roman" w:cs="Times New Roman"/>
          <w:sz w:val="24"/>
          <w:szCs w:val="24"/>
        </w:rPr>
        <w:fldChar w:fldCharType="separate"/>
      </w:r>
      <w:r w:rsidR="00C55B2A" w:rsidRPr="0026374F">
        <w:rPr>
          <w:rFonts w:ascii="Times New Roman" w:hAnsi="Times New Roman" w:cs="Times New Roman"/>
          <w:sz w:val="24"/>
          <w:szCs w:val="24"/>
          <w:vertAlign w:val="superscript"/>
        </w:rPr>
        <w:t>1</w:t>
      </w:r>
      <w:r w:rsidR="00C55B2A" w:rsidRPr="0026374F">
        <w:rPr>
          <w:rFonts w:ascii="Times New Roman" w:hAnsi="Times New Roman" w:cs="Times New Roman"/>
          <w:sz w:val="24"/>
          <w:szCs w:val="24"/>
        </w:rPr>
        <w:fldChar w:fldCharType="end"/>
      </w:r>
      <w:r w:rsidR="00402045" w:rsidRPr="0026374F">
        <w:rPr>
          <w:rFonts w:ascii="Times New Roman" w:hAnsi="Times New Roman" w:cs="Times New Roman"/>
          <w:color w:val="FF0000"/>
          <w:sz w:val="24"/>
          <w:szCs w:val="24"/>
        </w:rPr>
        <w:t xml:space="preserve"> </w:t>
      </w:r>
      <w:r w:rsidRPr="0026374F">
        <w:rPr>
          <w:rFonts w:ascii="Times New Roman" w:hAnsi="Times New Roman" w:cs="Times New Roman"/>
          <w:sz w:val="24"/>
          <w:szCs w:val="24"/>
        </w:rPr>
        <w:t>Thụ thể yếu tố tăng trưởng biểu bì (EGFR) là một phần củ</w:t>
      </w:r>
      <w:r w:rsidR="00402045" w:rsidRPr="0026374F">
        <w:rPr>
          <w:rFonts w:ascii="Times New Roman" w:hAnsi="Times New Roman" w:cs="Times New Roman"/>
          <w:sz w:val="24"/>
          <w:szCs w:val="24"/>
        </w:rPr>
        <w:t xml:space="preserve">a </w:t>
      </w:r>
      <w:r w:rsidRPr="0026374F">
        <w:rPr>
          <w:rFonts w:ascii="Times New Roman" w:hAnsi="Times New Roman" w:cs="Times New Roman"/>
          <w:sz w:val="24"/>
          <w:szCs w:val="24"/>
        </w:rPr>
        <w:t>họ thụ thể biểu bì ở ngườ</w:t>
      </w:r>
      <w:r w:rsidR="00402045" w:rsidRPr="0026374F">
        <w:rPr>
          <w:rFonts w:ascii="Times New Roman" w:hAnsi="Times New Roman" w:cs="Times New Roman"/>
          <w:sz w:val="24"/>
          <w:szCs w:val="24"/>
        </w:rPr>
        <w:t>i (HER)</w:t>
      </w:r>
      <w:r w:rsidR="0026374F">
        <w:rPr>
          <w:rFonts w:ascii="Times New Roman" w:hAnsi="Times New Roman" w:cs="Times New Roman"/>
          <w:sz w:val="24"/>
          <w:szCs w:val="24"/>
        </w:rPr>
        <w:t>,</w:t>
      </w:r>
      <w:r w:rsidR="00402045" w:rsidRPr="0026374F">
        <w:rPr>
          <w:rFonts w:ascii="Times New Roman" w:hAnsi="Times New Roman" w:cs="Times New Roman"/>
          <w:sz w:val="24"/>
          <w:szCs w:val="24"/>
        </w:rPr>
        <w:t xml:space="preserve"> </w:t>
      </w:r>
      <w:r w:rsidRPr="0026374F">
        <w:rPr>
          <w:rFonts w:ascii="Times New Roman" w:hAnsi="Times New Roman" w:cs="Times New Roman"/>
          <w:sz w:val="24"/>
          <w:szCs w:val="24"/>
        </w:rPr>
        <w:t>thiết yếu trong quá trình tăng sinh tế</w:t>
      </w:r>
      <w:r w:rsidR="00402045" w:rsidRPr="0026374F">
        <w:rPr>
          <w:rFonts w:ascii="Times New Roman" w:hAnsi="Times New Roman" w:cs="Times New Roman"/>
          <w:sz w:val="24"/>
          <w:szCs w:val="24"/>
        </w:rPr>
        <w:t xml:space="preserve"> bào, </w:t>
      </w:r>
      <w:r w:rsidRPr="0026374F">
        <w:rPr>
          <w:rFonts w:ascii="Times New Roman" w:hAnsi="Times New Roman" w:cs="Times New Roman"/>
          <w:sz w:val="24"/>
          <w:szCs w:val="24"/>
        </w:rPr>
        <w:t>trao đổi chấ</w:t>
      </w:r>
      <w:r w:rsidR="00402045" w:rsidRPr="0026374F">
        <w:rPr>
          <w:rFonts w:ascii="Times New Roman" w:hAnsi="Times New Roman" w:cs="Times New Roman"/>
          <w:sz w:val="24"/>
          <w:szCs w:val="24"/>
        </w:rPr>
        <w:t xml:space="preserve">t và </w:t>
      </w:r>
      <w:r w:rsidR="00853902" w:rsidRPr="00853902">
        <w:rPr>
          <w:rFonts w:ascii="Times New Roman" w:hAnsi="Times New Roman" w:cs="Times New Roman"/>
          <w:sz w:val="24"/>
          <w:szCs w:val="24"/>
        </w:rPr>
        <w:t xml:space="preserve">trốn tránh quá trình </w:t>
      </w:r>
      <w:r w:rsidR="00402045" w:rsidRPr="0026374F">
        <w:rPr>
          <w:rFonts w:ascii="Times New Roman" w:hAnsi="Times New Roman" w:cs="Times New Roman"/>
          <w:sz w:val="24"/>
          <w:szCs w:val="24"/>
        </w:rPr>
        <w:t>chết theo chương trình</w:t>
      </w:r>
      <w:r w:rsidR="00F227D7" w:rsidRPr="0026374F">
        <w:rPr>
          <w:rFonts w:ascii="Times New Roman" w:hAnsi="Times New Roman" w:cs="Times New Roman"/>
          <w:sz w:val="24"/>
          <w:szCs w:val="24"/>
        </w:rPr>
        <w:t>.</w:t>
      </w:r>
      <w:r w:rsidR="00C55B2A" w:rsidRPr="0026374F">
        <w:rPr>
          <w:rFonts w:ascii="Times New Roman" w:hAnsi="Times New Roman" w:cs="Times New Roman"/>
          <w:sz w:val="24"/>
          <w:szCs w:val="24"/>
        </w:rPr>
        <w:t xml:space="preserve"> </w:t>
      </w:r>
      <w:r w:rsidR="00C55B2A" w:rsidRPr="0026374F">
        <w:rPr>
          <w:rFonts w:ascii="Times New Roman" w:hAnsi="Times New Roman" w:cs="Times New Roman"/>
          <w:sz w:val="24"/>
          <w:szCs w:val="24"/>
        </w:rPr>
        <w:fldChar w:fldCharType="begin"/>
      </w:r>
      <w:r w:rsidR="00C55B2A" w:rsidRPr="0026374F">
        <w:rPr>
          <w:rFonts w:ascii="Times New Roman" w:hAnsi="Times New Roman" w:cs="Times New Roman"/>
          <w:sz w:val="24"/>
          <w:szCs w:val="24"/>
        </w:rPr>
        <w:instrText xml:space="preserve"> ADDIN ZOTERO_ITEM CSL_CITATION {"citationID":"pX2SLlvA","properties":{"formattedCitation":"\\super 2\\nosupersub{}","plainCitation":"2","noteIndex":0},"citationItems":[{"id":275,"uris":["http://zotero.org/users/12066239/items/4E8959F3"],"itemData":{"id":275,"type":"article-journal","abstract":"The epidermal growth factor receptor (EGFR) is a receptor tyrosine kinase that is commonly upregulated in cancers such as in non-small-cell lung cancer, metastatic colorectal cancer, glioblastoma, head and neck cancer, pancreatic cancer, and breast cancer. Various mechanisms mediate the upregulation of EGFR activity, including common mutations and truncations to its extracellular domain, such as in the EGFRvIII truncations, as well as to its kinase domain, such as the L858R and T790M mutations, or the exon 19 truncation. These EGFR aberrations over-activate downstream pro-oncogenic signaling pathways, including the RAS-RAF-MEK-ERK MAPK and AKT-PI3K-mTOR pathways. These pathways then activate many biological outputs that are beneficial to cancer cell proliferation, including their chronic initiation and progression through the cell cycle. Here, we review the molecular mechanisms that regulate EGFR signal transduction, including the EGFR structure and its mutations, ligand binding and EGFR dimerization, as well as the signaling pathways that lead to G1 cell cycle progression. We focus on the induction of CYCLIN D expression, CDK4/6 activation, and the repression of cyclin-dependent kinase inhibitor proteins (CDKi) by EGFR signaling pathways. We also discuss the successes and challenges of EGFR-targeted therapies, and the potential for their use in combination with CDK4/6 inhibitors.","container-title":"Cancers","DOI":"10.3390/cancers9050052","ISSN":"2072-6694","issue":"5","journalAbbreviation":"Cancers (Basel)","language":"eng","note":"PMID: 28513565\nPMCID: PMC5447962","page":"52","source":"PubMed","title":"Epidermal Growth Factor Receptor Cell Proliferation Signaling Pathways","volume":"9","author":[{"family":"Wee","given":"Ping"},{"family":"Wang","given":"Zhixiang"}],"issued":{"date-parts":[["2017",5,17]]}}}],"schema":"https://github.com/citation-style-language/schema/raw/master/csl-citation.json"} </w:instrText>
      </w:r>
      <w:r w:rsidR="00C55B2A" w:rsidRPr="0026374F">
        <w:rPr>
          <w:rFonts w:ascii="Times New Roman" w:hAnsi="Times New Roman" w:cs="Times New Roman"/>
          <w:sz w:val="24"/>
          <w:szCs w:val="24"/>
        </w:rPr>
        <w:fldChar w:fldCharType="separate"/>
      </w:r>
      <w:r w:rsidR="00C55B2A" w:rsidRPr="0026374F">
        <w:rPr>
          <w:rFonts w:ascii="Times New Roman" w:hAnsi="Times New Roman" w:cs="Times New Roman"/>
          <w:sz w:val="24"/>
          <w:szCs w:val="24"/>
          <w:vertAlign w:val="superscript"/>
        </w:rPr>
        <w:t>2</w:t>
      </w:r>
      <w:r w:rsidR="00C55B2A" w:rsidRPr="0026374F">
        <w:rPr>
          <w:rFonts w:ascii="Times New Roman" w:hAnsi="Times New Roman" w:cs="Times New Roman"/>
          <w:sz w:val="24"/>
          <w:szCs w:val="24"/>
        </w:rPr>
        <w:fldChar w:fldCharType="end"/>
      </w:r>
      <w:r w:rsidRPr="0026374F">
        <w:rPr>
          <w:rFonts w:ascii="Times New Roman" w:hAnsi="Times New Roman" w:cs="Times New Roman"/>
          <w:sz w:val="24"/>
          <w:szCs w:val="24"/>
        </w:rPr>
        <w:t xml:space="preserve"> Đột biến chèn exon 20 của EGFR (EGFRex20ins) chiế</w:t>
      </w:r>
      <w:r w:rsidR="00402045" w:rsidRPr="0026374F">
        <w:rPr>
          <w:rFonts w:ascii="Times New Roman" w:hAnsi="Times New Roman" w:cs="Times New Roman"/>
          <w:sz w:val="24"/>
          <w:szCs w:val="24"/>
        </w:rPr>
        <w:t xml:space="preserve">m 4% </w:t>
      </w:r>
      <w:r w:rsidRPr="0026374F">
        <w:rPr>
          <w:rFonts w:ascii="Times New Roman" w:hAnsi="Times New Roman" w:cs="Times New Roman"/>
          <w:sz w:val="24"/>
          <w:szCs w:val="24"/>
        </w:rPr>
        <w:t xml:space="preserve">đến 10% </w:t>
      </w:r>
      <w:r w:rsidR="00402045" w:rsidRPr="0026374F">
        <w:rPr>
          <w:rFonts w:ascii="Times New Roman" w:hAnsi="Times New Roman" w:cs="Times New Roman"/>
          <w:sz w:val="24"/>
          <w:szCs w:val="24"/>
        </w:rPr>
        <w:t xml:space="preserve">UTPKTBN có </w:t>
      </w:r>
      <w:r w:rsidRPr="0026374F">
        <w:rPr>
          <w:rFonts w:ascii="Times New Roman" w:hAnsi="Times New Roman" w:cs="Times New Roman"/>
          <w:sz w:val="24"/>
          <w:szCs w:val="24"/>
        </w:rPr>
        <w:t>đột biế</w:t>
      </w:r>
      <w:r w:rsidR="00402045" w:rsidRPr="0026374F">
        <w:rPr>
          <w:rFonts w:ascii="Times New Roman" w:hAnsi="Times New Roman" w:cs="Times New Roman"/>
          <w:sz w:val="24"/>
          <w:szCs w:val="24"/>
        </w:rPr>
        <w:t xml:space="preserve">n EGFR và </w:t>
      </w:r>
      <w:r w:rsidRPr="0026374F">
        <w:rPr>
          <w:rFonts w:ascii="Times New Roman" w:hAnsi="Times New Roman" w:cs="Times New Roman"/>
          <w:sz w:val="24"/>
          <w:szCs w:val="24"/>
        </w:rPr>
        <w:t xml:space="preserve">khoảng 2% trong số tất cả các </w:t>
      </w:r>
      <w:r w:rsidR="00402045" w:rsidRPr="0026374F">
        <w:rPr>
          <w:rFonts w:ascii="Times New Roman" w:hAnsi="Times New Roman" w:cs="Times New Roman"/>
          <w:sz w:val="24"/>
          <w:szCs w:val="24"/>
        </w:rPr>
        <w:t xml:space="preserve">UTPKTBN. </w:t>
      </w:r>
      <w:r w:rsidR="00C55B2A" w:rsidRPr="0026374F">
        <w:rPr>
          <w:rFonts w:ascii="Times New Roman" w:hAnsi="Times New Roman" w:cs="Times New Roman"/>
          <w:sz w:val="24"/>
          <w:szCs w:val="24"/>
        </w:rPr>
        <w:fldChar w:fldCharType="begin"/>
      </w:r>
      <w:r w:rsidR="00C55B2A" w:rsidRPr="0026374F">
        <w:rPr>
          <w:rFonts w:ascii="Times New Roman" w:hAnsi="Times New Roman" w:cs="Times New Roman"/>
          <w:sz w:val="24"/>
          <w:szCs w:val="24"/>
        </w:rPr>
        <w:instrText xml:space="preserve"> ADDIN ZOTERO_ITEM CSL_CITATION {"citationID":"NiIbIvZj","properties":{"formattedCitation":"\\super 3\\nosupersub{}","plainCitation":"3","noteIndex":0},"citationItems":[{"id":190,"uris":["http://zotero.org/users/12066239/items/ND8CLK9E"],"itemData":{"id":190,"type":"article-journal","abstract":"In contrast to other primary EGFR mutations in lung adenocarcinomas, insertions in exon 20 of EGFR have been generally associated with resistance to EGFR tyrosine kinase inhibitors. Their molecular spectrum, clinicopathologic characteristics and prevalence are not well established. Tumors harboring EGFR exon 20 insertions were identified through an algorithmic screen of 1500 lung adenocarcinomas. Cases were first tested for common mutations in EGFR (exons 19 and 21) and KRAS (exon 2) and, if negative, further analyzed for EGFR exon 20 insertions. All samples underwent extended genotyping for other driver mutations in EGFR, KRAS, BRAF, NRAS, PIK3CA, MEK1 and AKT by mass spectrometry; a subset was evaluated for ALK rearrangements. We identified 33 EGFR exon 20 insertion cases (2.2%, 95% CI 1.6 to 3.1%), all mutually exclusive with mutations in the other genes tested (except PIK3CA). They were more common among never-smokers (p&lt;0.0001). There was no association with age, sex, race, or stage. Morphologically, tumors were similar to those with common EGFR mutations, but with frequent solid histology. Insertions were highly variable in position and size, ranging from 3 to 12bp, resulting in 13 different insertions which, by molecular modeling, are predicted to have potentially different effects on erlotinib binding. EGFR exon 20 insertion testing identifies a distinct subset of lung adenocarcinomas, accounting for at least 9% of all EGFR mutated cases, representing the third most common type of EGFR mutation after exon 19 deletions and L858R. Insertions are structurally heterogeneous with potential implications for response to EGFR inhibitors.","container-title":"Molecular cancer therapeutics","DOI":"10.1158/1535-7163.MCT-12-0620","ISSN":"1535-7163","issue":"2","journalAbbreviation":"Mol Cancer Ther","note":"PMID: 23371856\nPMCID: PMC3714231","page":"220-229","source":"PubMed Central","title":"EGFR Exon 20 Insertion Mutations in Lung Adenocarcinomas: Prevalence, Molecular Heterogeneity, and Clinicopathologic Characteristics","title-short":"EGFR Exon 20 Insertion Mutations in Lung Adenocarcinomas","volume":"12","author":[{"family":"Arcila","given":"Maria E"},{"family":"Nafa","given":"Khedoudja"},{"family":"Chaft","given":"Jamie E"},{"family":"Rekhtman","given":"Natasha"},{"family":"Lau","given":"Christopher"},{"family":"Reva","given":"Boris A"},{"family":"Zakowski","given":"Maureen F"},{"family":"Kris","given":"Mark G"},{"family":"Ladanyi","given":"Marc"}],"issued":{"date-parts":[["2013",2]]}}}],"schema":"https://github.com/citation-style-language/schema/raw/master/csl-citation.json"} </w:instrText>
      </w:r>
      <w:r w:rsidR="00C55B2A" w:rsidRPr="0026374F">
        <w:rPr>
          <w:rFonts w:ascii="Times New Roman" w:hAnsi="Times New Roman" w:cs="Times New Roman"/>
          <w:sz w:val="24"/>
          <w:szCs w:val="24"/>
        </w:rPr>
        <w:fldChar w:fldCharType="separate"/>
      </w:r>
      <w:r w:rsidR="00C55B2A" w:rsidRPr="0026374F">
        <w:rPr>
          <w:rFonts w:ascii="Times New Roman" w:hAnsi="Times New Roman" w:cs="Times New Roman"/>
          <w:sz w:val="24"/>
          <w:szCs w:val="24"/>
          <w:vertAlign w:val="superscript"/>
        </w:rPr>
        <w:t>3</w:t>
      </w:r>
      <w:r w:rsidR="00C55B2A" w:rsidRPr="0026374F">
        <w:rPr>
          <w:rFonts w:ascii="Times New Roman" w:hAnsi="Times New Roman" w:cs="Times New Roman"/>
          <w:sz w:val="24"/>
          <w:szCs w:val="24"/>
        </w:rPr>
        <w:fldChar w:fldCharType="end"/>
      </w:r>
      <w:r w:rsidR="00C55B2A" w:rsidRPr="0026374F">
        <w:rPr>
          <w:rFonts w:ascii="Times New Roman" w:hAnsi="Times New Roman" w:cs="Times New Roman"/>
          <w:sz w:val="24"/>
          <w:szCs w:val="24"/>
        </w:rPr>
        <w:t xml:space="preserve"> </w:t>
      </w:r>
      <w:r w:rsidRPr="0026374F">
        <w:rPr>
          <w:rFonts w:ascii="Times New Roman" w:hAnsi="Times New Roman" w:cs="Times New Roman"/>
          <w:sz w:val="24"/>
          <w:szCs w:val="24"/>
        </w:rPr>
        <w:t>Đột biế</w:t>
      </w:r>
      <w:r w:rsidR="0026374F">
        <w:rPr>
          <w:rFonts w:ascii="Times New Roman" w:hAnsi="Times New Roman" w:cs="Times New Roman"/>
          <w:sz w:val="24"/>
          <w:szCs w:val="24"/>
        </w:rPr>
        <w:t>n e</w:t>
      </w:r>
      <w:r w:rsidRPr="0026374F">
        <w:rPr>
          <w:rFonts w:ascii="Times New Roman" w:hAnsi="Times New Roman" w:cs="Times New Roman"/>
          <w:sz w:val="24"/>
          <w:szCs w:val="24"/>
        </w:rPr>
        <w:t>x20ins phổ biến nhất ở</w:t>
      </w:r>
      <w:r w:rsidR="00402045" w:rsidRPr="0026374F">
        <w:rPr>
          <w:rFonts w:ascii="Times New Roman" w:hAnsi="Times New Roman" w:cs="Times New Roman"/>
          <w:sz w:val="24"/>
          <w:szCs w:val="24"/>
        </w:rPr>
        <w:t xml:space="preserve"> </w:t>
      </w:r>
      <w:r w:rsidRPr="0026374F">
        <w:rPr>
          <w:rFonts w:ascii="Times New Roman" w:hAnsi="Times New Roman" w:cs="Times New Roman"/>
          <w:sz w:val="24"/>
          <w:szCs w:val="24"/>
        </w:rPr>
        <w:t>phụ nữ, người không bao giờ hút thuốc hoặc hút thuốc ít, và trong các khối u mô học tuyế</w:t>
      </w:r>
      <w:r w:rsidR="00402045" w:rsidRPr="0026374F">
        <w:rPr>
          <w:rFonts w:ascii="Times New Roman" w:hAnsi="Times New Roman" w:cs="Times New Roman"/>
          <w:sz w:val="24"/>
          <w:szCs w:val="24"/>
        </w:rPr>
        <w:t xml:space="preserve">n. </w:t>
      </w:r>
      <w:r w:rsidRPr="0026374F">
        <w:rPr>
          <w:rFonts w:ascii="Times New Roman" w:hAnsi="Times New Roman" w:cs="Times New Roman"/>
          <w:sz w:val="24"/>
          <w:szCs w:val="24"/>
        </w:rPr>
        <w:t>Các khố</w:t>
      </w:r>
      <w:r w:rsidR="0026374F">
        <w:rPr>
          <w:rFonts w:ascii="Times New Roman" w:hAnsi="Times New Roman" w:cs="Times New Roman"/>
          <w:sz w:val="24"/>
          <w:szCs w:val="24"/>
        </w:rPr>
        <w:t>i u có e</w:t>
      </w:r>
      <w:r w:rsidRPr="0026374F">
        <w:rPr>
          <w:rFonts w:ascii="Times New Roman" w:hAnsi="Times New Roman" w:cs="Times New Roman"/>
          <w:sz w:val="24"/>
          <w:szCs w:val="24"/>
        </w:rPr>
        <w:t>x20in</w:t>
      </w:r>
      <w:r w:rsidR="0026374F">
        <w:rPr>
          <w:rFonts w:ascii="Times New Roman" w:hAnsi="Times New Roman" w:cs="Times New Roman"/>
          <w:sz w:val="24"/>
          <w:szCs w:val="24"/>
        </w:rPr>
        <w:t>s</w:t>
      </w:r>
      <w:r w:rsidRPr="0026374F">
        <w:rPr>
          <w:rFonts w:ascii="Times New Roman" w:hAnsi="Times New Roman" w:cs="Times New Roman"/>
          <w:sz w:val="24"/>
          <w:szCs w:val="24"/>
        </w:rPr>
        <w:t xml:space="preserve"> được đặc trưng bởi tỷ lệ di căn não ban đầ</w:t>
      </w:r>
      <w:r w:rsidR="00402045" w:rsidRPr="0026374F">
        <w:rPr>
          <w:rFonts w:ascii="Times New Roman" w:hAnsi="Times New Roman" w:cs="Times New Roman"/>
          <w:sz w:val="24"/>
          <w:szCs w:val="24"/>
        </w:rPr>
        <w:t>u cao</w:t>
      </w:r>
      <w:r w:rsidRPr="0026374F">
        <w:rPr>
          <w:rFonts w:ascii="Times New Roman" w:hAnsi="Times New Roman" w:cs="Times New Roman"/>
          <w:sz w:val="24"/>
          <w:szCs w:val="24"/>
        </w:rPr>
        <w:t xml:space="preserve"> và xu hướng di căn xương</w:t>
      </w:r>
      <w:r w:rsidR="00402045" w:rsidRPr="0026374F">
        <w:rPr>
          <w:rFonts w:ascii="Times New Roman" w:hAnsi="Times New Roman" w:cs="Times New Roman"/>
          <w:sz w:val="24"/>
          <w:szCs w:val="24"/>
        </w:rPr>
        <w:t xml:space="preserve"> </w:t>
      </w:r>
      <w:r w:rsidRPr="0026374F">
        <w:rPr>
          <w:rFonts w:ascii="Times New Roman" w:hAnsi="Times New Roman" w:cs="Times New Roman"/>
          <w:sz w:val="24"/>
          <w:szCs w:val="24"/>
        </w:rPr>
        <w:t>theo cách tương tự như đột biến kích hoạ</w:t>
      </w:r>
      <w:r w:rsidR="00402045" w:rsidRPr="0026374F">
        <w:rPr>
          <w:rFonts w:ascii="Times New Roman" w:hAnsi="Times New Roman" w:cs="Times New Roman"/>
          <w:sz w:val="24"/>
          <w:szCs w:val="24"/>
        </w:rPr>
        <w:t xml:space="preserve">t EGFR. </w:t>
      </w:r>
      <w:r w:rsidR="00C55B2A" w:rsidRPr="0026374F">
        <w:rPr>
          <w:rFonts w:ascii="Times New Roman" w:hAnsi="Times New Roman" w:cs="Times New Roman"/>
          <w:sz w:val="24"/>
          <w:szCs w:val="24"/>
        </w:rPr>
        <w:fldChar w:fldCharType="begin"/>
      </w:r>
      <w:r w:rsidR="00C55B2A" w:rsidRPr="0026374F">
        <w:rPr>
          <w:rFonts w:ascii="Times New Roman" w:hAnsi="Times New Roman" w:cs="Times New Roman"/>
          <w:sz w:val="24"/>
          <w:szCs w:val="24"/>
        </w:rPr>
        <w:instrText xml:space="preserve"> ADDIN ZOTERO_ITEM CSL_CITATION {"citationID":"p4HHXxSA","properties":{"formattedCitation":"\\super 4\\nosupersub{}","plainCitation":"4","noteIndex":0},"citationItems":[{"id":273,"uris":["http://zotero.org/users/12066239/items/QPY7W6BL"],"itemData":{"id":273,"type":"article-journal","abstract":"Although targeted therapy is standard of care in a large subset of oncogenic addicted non-small cell lung cancers (NSCLC), until recently, this therapeutic approach has not been feasible for all genomic alterations such as for those tumors harboring Epidermal Growth Factor Receptor (EGFR) exon 20 insertion (ex20ins) mutations. Despite being the third most common EGFR mutation, a limited efficacy of first- and second-generation EGFR tyrosine kinase inhibitors (TKI) exists. This is related to the heterogeneity at the molecular level in EGFR ex20ins mutation variants and the finding that this mutation promotes active kinase conformation but does not increase the affinity for EGFR TKI. As a result, the prognosis of this population is diminished. Therefore, chemotherapy remained the most suitable strategy in this subset of EGFR mutant NSCLC patients. Recently, new treatment strategies have been reported in this landscape, either with new EGFR TKI or bispecific antibodies, which may establish a new standard of care in the coming future for these patients. Future research should focus on elucidating the oncogenic degree of all EGFR ex20ins variants, the potential role of combination strategies either with chemotherapy or immune checkpoint inhibitors, and the most appropriate first-line treatment strategy in this subgroup. Finally, the knowledge of mechanisms of acquired resistance to these new agents upon progression is a priority for personalising treatment at that time. It is in this framework, that we provide a thorough overview on this subject.","container-title":"Cancer Treatment Reviews","DOI":"10.1016/j.ctrv.2020.102105","ISSN":"1532-1967","journalAbbreviation":"Cancer Treat Rev","language":"eng","note":"PMID: 32979839","page":"102105","source":"PubMed","title":"EGFR exon 20 insertions in advanced non-small cell lung cancer: A new history begins","title-short":"EGFR exon 20 insertions in advanced non-small cell lung cancer","volume":"90","author":[{"family":"Remon","given":"Jordi"},{"family":"Hendriks","given":"Lizza E. L."},{"family":"Cardona","given":"Andres F."},{"family":"Besse","given":"Benjamin"}],"issued":{"date-parts":[["2020",11]]}}}],"schema":"https://github.com/citation-style-language/schema/raw/master/csl-citation.json"} </w:instrText>
      </w:r>
      <w:r w:rsidR="00C55B2A" w:rsidRPr="0026374F">
        <w:rPr>
          <w:rFonts w:ascii="Times New Roman" w:hAnsi="Times New Roman" w:cs="Times New Roman"/>
          <w:sz w:val="24"/>
          <w:szCs w:val="24"/>
        </w:rPr>
        <w:fldChar w:fldCharType="separate"/>
      </w:r>
      <w:r w:rsidR="00C55B2A" w:rsidRPr="0026374F">
        <w:rPr>
          <w:rFonts w:ascii="Times New Roman" w:hAnsi="Times New Roman" w:cs="Times New Roman"/>
          <w:sz w:val="24"/>
          <w:szCs w:val="24"/>
          <w:vertAlign w:val="superscript"/>
        </w:rPr>
        <w:t>4</w:t>
      </w:r>
      <w:r w:rsidR="00C55B2A" w:rsidRPr="0026374F">
        <w:rPr>
          <w:rFonts w:ascii="Times New Roman" w:hAnsi="Times New Roman" w:cs="Times New Roman"/>
          <w:sz w:val="24"/>
          <w:szCs w:val="24"/>
        </w:rPr>
        <w:fldChar w:fldCharType="end"/>
      </w:r>
    </w:p>
    <w:p w:rsidR="00DF34D9" w:rsidRPr="0026374F" w:rsidRDefault="00DF34D9" w:rsidP="00043A74">
      <w:pPr>
        <w:spacing w:after="0" w:line="240" w:lineRule="auto"/>
        <w:ind w:firstLine="720"/>
        <w:jc w:val="both"/>
        <w:rPr>
          <w:rFonts w:ascii="Times New Roman" w:hAnsi="Times New Roman" w:cs="Times New Roman"/>
          <w:sz w:val="24"/>
          <w:szCs w:val="24"/>
        </w:rPr>
      </w:pPr>
      <w:r w:rsidRPr="0026374F">
        <w:rPr>
          <w:rFonts w:ascii="Times New Roman" w:hAnsi="Times New Roman" w:cs="Times New Roman"/>
          <w:sz w:val="24"/>
          <w:szCs w:val="24"/>
        </w:rPr>
        <w:t>Trong 20 năm qua, EGFR đã nổi lên như một liệu pháp thiết yếu cho UTPKTBN có đột biến EGFR. Trái ngược với đột biến EGFR thông thường</w:t>
      </w:r>
      <w:r w:rsidR="0026374F">
        <w:rPr>
          <w:rFonts w:ascii="Times New Roman" w:hAnsi="Times New Roman" w:cs="Times New Roman"/>
          <w:sz w:val="24"/>
          <w:szCs w:val="24"/>
        </w:rPr>
        <w:t>, EGFR TKI</w:t>
      </w:r>
      <w:r w:rsidRPr="0026374F">
        <w:rPr>
          <w:rFonts w:ascii="Times New Roman" w:hAnsi="Times New Roman" w:cs="Times New Roman"/>
          <w:sz w:val="24"/>
          <w:szCs w:val="24"/>
        </w:rPr>
        <w:t xml:space="preserve"> afatinib, erlotinib và gefitinib, có hoạt động hạn chế ở những bệnh nhân UTPKTBN có EGFRex20ins, tỷ lệ đáp ứng của thuốc là khoảng 10% và thời gian số</w:t>
      </w:r>
      <w:r w:rsidR="003B11DF">
        <w:rPr>
          <w:rFonts w:ascii="Times New Roman" w:hAnsi="Times New Roman" w:cs="Times New Roman"/>
          <w:sz w:val="24"/>
          <w:szCs w:val="24"/>
        </w:rPr>
        <w:t>ng thêm</w:t>
      </w:r>
      <w:r w:rsidRPr="0026374F">
        <w:rPr>
          <w:rFonts w:ascii="Times New Roman" w:hAnsi="Times New Roman" w:cs="Times New Roman"/>
          <w:sz w:val="24"/>
          <w:szCs w:val="24"/>
        </w:rPr>
        <w:t xml:space="preserve"> không </w:t>
      </w:r>
      <w:r w:rsidR="003B11DF">
        <w:rPr>
          <w:rFonts w:ascii="Times New Roman" w:hAnsi="Times New Roman" w:cs="Times New Roman"/>
          <w:sz w:val="24"/>
          <w:szCs w:val="24"/>
        </w:rPr>
        <w:t xml:space="preserve">bệnh </w:t>
      </w:r>
      <w:r w:rsidRPr="0026374F">
        <w:rPr>
          <w:rFonts w:ascii="Times New Roman" w:hAnsi="Times New Roman" w:cs="Times New Roman"/>
          <w:sz w:val="24"/>
          <w:szCs w:val="24"/>
        </w:rPr>
        <w:t>tiến triển trung bình (PFS) là từ 1 đến 3 tháng.</w:t>
      </w:r>
      <w:r w:rsidR="0026374F">
        <w:rPr>
          <w:rFonts w:ascii="Times New Roman" w:hAnsi="Times New Roman" w:cs="Times New Roman"/>
          <w:sz w:val="24"/>
          <w:szCs w:val="24"/>
        </w:rPr>
        <w:t xml:space="preserve"> </w:t>
      </w:r>
      <w:r w:rsidR="00C55B2A" w:rsidRPr="0026374F">
        <w:rPr>
          <w:rFonts w:ascii="Times New Roman" w:hAnsi="Times New Roman" w:cs="Times New Roman"/>
          <w:sz w:val="24"/>
          <w:szCs w:val="24"/>
          <w:vertAlign w:val="superscript"/>
        </w:rPr>
        <w:fldChar w:fldCharType="begin"/>
      </w:r>
      <w:r w:rsidR="00C55B2A" w:rsidRPr="0026374F">
        <w:rPr>
          <w:rFonts w:ascii="Times New Roman" w:hAnsi="Times New Roman" w:cs="Times New Roman"/>
          <w:sz w:val="24"/>
          <w:szCs w:val="24"/>
          <w:vertAlign w:val="superscript"/>
        </w:rPr>
        <w:instrText xml:space="preserve"> ADDIN ZOTERO_ITEM CSL_CITATION {"citationID":"bxjs0Zds","properties":{"formattedCitation":"\\super 5\\nosupersub{}","plainCitation":"5","noteIndex":0},"citationItems":[{"id":176,"uris":["http://zotero.org/users/12066239/items/SSCUHKKI"],"itemData":{"id":176,"type":"article-journal","abstract":"Rare EGFR mutations were collected from 10117 non-small cell lung cancer samples analyzed by ERMETIC-IFCT French network. Among 1047 EGFR-mutated samples, 102 (10%) harboured rare mutations (41 in exon 18, 49 in exon 20, 12 with others). Association with smoking differed between exon 18 and 20, and control rate to EGFR-TKI was 47%, strongly varied between patients requiring individual assessment.","container-title":"Annals of Oncology","DOI":"10.1093/annonc/mdt418","ISSN":"0923-7534","issue":"1","journalAbbreviation":"Ann Oncol","note":"PMID: 24285021\nPMCID: PMC3868323","page":"126-131","source":"PubMed Central","title":"Rare EGFR exon 18 and exon 20 mutations in non-small-cell lung cancer on 10 117 patients: a multicentre observational study by the French ERMETIC-IFCT network","title-short":"Rare EGFR exon 18 and exon 20 mutations in non-small-cell lung cancer on 10 117 patients","volume":"25","author":[{"family":"Beau-Faller","given":"M."},{"family":"Prim","given":"N."},{"family":"Ruppert","given":"A.-M."},{"family":"Nanni-Metéllus","given":"I."},{"family":"Lacave","given":"R."},{"family":"Lacroix","given":"L."},{"family":"Escande","given":"F."},{"family":"Lizard","given":"S."},{"family":"Pretet","given":"J.-L."},{"family":"Rouquette","given":"I."},{"family":"Crémoux","given":"P.","non-dropping-particle":"de"},{"family":"Solassol","given":"J."},{"family":"Fraipont","given":"F.","non-dropping-particle":"de"},{"family":"Bièche","given":"I."},{"family":"Cayre","given":"A."},{"family":"Favre-Guillevin","given":"E."},{"family":"Tomasini","given":"P."},{"family":"Wislez","given":"M."},{"family":"Besse","given":"B."},{"family":"Legrain","given":"M."},{"family":"Voegeli","given":"A.-C."},{"family":"Baudrin","given":"L."},{"family":"Morin","given":"F."},{"family":"Zalcman","given":"G."},{"family":"Quoix","given":"E."},{"family":"Blons","given":"H."},{"family":"Cadranel","given":"J."}],"issued":{"date-parts":[["2014",1]]}}}],"schema":"https://github.com/citation-style-language/schema/raw/master/csl-citation.json"} </w:instrText>
      </w:r>
      <w:r w:rsidR="00C55B2A" w:rsidRPr="0026374F">
        <w:rPr>
          <w:rFonts w:ascii="Times New Roman" w:hAnsi="Times New Roman" w:cs="Times New Roman"/>
          <w:sz w:val="24"/>
          <w:szCs w:val="24"/>
          <w:vertAlign w:val="superscript"/>
        </w:rPr>
        <w:fldChar w:fldCharType="separate"/>
      </w:r>
      <w:r w:rsidR="00C55B2A" w:rsidRPr="0026374F">
        <w:rPr>
          <w:rFonts w:ascii="Times New Roman" w:hAnsi="Times New Roman" w:cs="Times New Roman"/>
          <w:sz w:val="24"/>
          <w:szCs w:val="24"/>
          <w:vertAlign w:val="superscript"/>
        </w:rPr>
        <w:t>5</w:t>
      </w:r>
      <w:r w:rsidR="00C55B2A" w:rsidRPr="0026374F">
        <w:rPr>
          <w:rFonts w:ascii="Times New Roman" w:hAnsi="Times New Roman" w:cs="Times New Roman"/>
          <w:sz w:val="24"/>
          <w:szCs w:val="24"/>
          <w:vertAlign w:val="superscript"/>
        </w:rPr>
        <w:fldChar w:fldCharType="end"/>
      </w:r>
      <w:r w:rsidR="0026374F">
        <w:rPr>
          <w:rFonts w:ascii="Times New Roman" w:hAnsi="Times New Roman" w:cs="Times New Roman"/>
          <w:sz w:val="24"/>
          <w:szCs w:val="24"/>
          <w:vertAlign w:val="superscript"/>
        </w:rPr>
        <w:t>,</w:t>
      </w:r>
      <w:r w:rsidR="00C55B2A" w:rsidRPr="0026374F">
        <w:rPr>
          <w:rFonts w:ascii="Times New Roman" w:hAnsi="Times New Roman" w:cs="Times New Roman"/>
          <w:sz w:val="24"/>
          <w:szCs w:val="24"/>
          <w:vertAlign w:val="superscript"/>
        </w:rPr>
        <w:fldChar w:fldCharType="begin"/>
      </w:r>
      <w:r w:rsidR="00C55B2A" w:rsidRPr="0026374F">
        <w:rPr>
          <w:rFonts w:ascii="Times New Roman" w:hAnsi="Times New Roman" w:cs="Times New Roman"/>
          <w:sz w:val="24"/>
          <w:szCs w:val="24"/>
          <w:vertAlign w:val="superscript"/>
        </w:rPr>
        <w:instrText xml:space="preserve"> ADDIN ZOTERO_ITEM CSL_CITATION {"citationID":"f6yyY4dN","properties":{"formattedCitation":"\\super 6\\nosupersub{}","plainCitation":"6","noteIndex":0},"citationItems":[{"id":259,"uris":["http://zotero.org/users/12066239/items/IFXJDG84"],"itemData":{"id":259,"type":"article-journal","abstract":"BACKGROUND: Most patients with non-small-cell lung cancer tumours that have EGFR mutations have deletion mutations in exon 19 or the Leu858Arg point mutation in exon 21, or both (ie, common mutations). However, a subset of patients (10%) with mutations in EGFR have tumours that harbour uncommon mutations. There is a paucity of data regarding the sensitivity of these tumours to EGFR inhibitors. Here we present data for the activity of afatinib in patients with advanced non-small-cell lung cancer that have tumours harbouring uncommon EGFR mutations.\nMETHODS: In this post-hoc analysis, we used prospectively collected data from tyrosine kinase inhibitor-naive patients with EGFR mutation-positive advanced (stage IIIb-IV) lung adenocarcinomas who were given afatinib in a single group phase 2 trial (LUX-Lung 2), and randomised phase 3 trials (LUX-Lung 3 and LUX-Lung 6). Analyses were done in the intention-to-treat population, including all randomly assigned patients with uncommon EGFR mutations. The type of EGFR mutation (exon 19 deletion [del19], Leu858Arg point mutation in exon 21, or other) and ethnic origin (LUX-Lung 3 only; Asian vs non-Asian) were pre-specified stratification factors in the randomised trials. We categorised all uncommon mutations as: point mutations or duplications in exons 18-21 (group 1); de-novo Thr790Met mutations in exon 20 alone or in combination with other mutations (group 2); or exon 20 insertions (group 3). We also assessed outcomes in patients with the most frequent uncommon mutations, Gly719Xaa, Leu861Gln, and Ser768Ile, alone or in combination with other mutations. Response was established by independent radiological review. These trials are registered with ClinicalTrials.gov, numbers NCT00525148, NCT00949650, and NCT01121393.\nFINDINGS: Of 600 patients given afatinib across the three trials, 75 (12%) patients had uncommon EGFR mutations (38 in group 1, 14 in group 2, 23 in group 3). 27 (71·1%, 95% CI 54·1-84·6) patients in group 1 had objective responses, as did two (14·3%, 1·8-42·8) in group 2 and two (8·7%, 1·1-28·0) in group 3. Median progression-free survival was 10·7 months (95% CI 5·6-14·7) in group 1, 2·9 months (1·2-8·3) in group 2; and 2·7 months (1·8-4·2) in group 3. Median overall survival was 19·4 months (95% CI 16·4-26·9) in group 1, 14·9 months (8·1-24·9) in group 2, and 9·2 months (4·1-14·2) in group 3. For the most frequent uncommon mutations, 14 (77·8%, 95% CI 52·4-93·6) patients with Gly719Xaa had an objective response, as did nine (56·3%, 29·9-80·2) with Leu861Gln, and eight (100·0%, 63·1-100·0) with Ser768Ile.\nINTERPRETATION: Afatinib was active in non-small-cell lung cancer tumours that harboured certain types of uncommon EGFR mutations, especially Gly719Xaa, Leu861Gln, and Ser768Ile, but less active in other mutations types. Clinical benefit was lower in patients with de-novo Thr790Met and exon 20 insertion mutations. These data could help inform clinical decisions for patients with non-small-cell lung cancer harbouring uncommon EGFR mutations.\nFUNDING: Boehringer Ingelheim.","container-title":"The Lancet. Oncology","DOI":"10.1016/S1470-2045(15)00026-1","ISSN":"1474-5488","issue":"7","journalAbbreviation":"Lancet Oncol","language":"eng","note":"PMID: 26051236","page":"830-838","source":"PubMed","title":"Clinical activity of afatinib in patients with advanced non-small-cell lung cancer harbouring uncommon EGFR mutations: a combined post-hoc analysis of LUX-Lung 2, LUX-Lung 3, and LUX-Lung 6","title-short":"Clinical activity of afatinib in patients with advanced non-small-cell lung cancer harbouring uncommon EGFR mutations","volume":"16","author":[{"family":"Yang","given":"James C.-H."},{"family":"Sequist","given":"Lecia V."},{"family":"Geater","given":"Sarayut Lucien"},{"family":"Tsai","given":"Chun-Ming"},{"family":"Mok","given":"Tony Shu Kam"},{"family":"Schuler","given":"Martin"},{"family":"Yamamoto","given":"Nobuyuki"},{"family":"Yu","given":"Chong-Jen"},{"family":"Ou","given":"Sai-Hong I."},{"family":"Zhou","given":"Caicun"},{"family":"Massey","given":"Daniel"},{"family":"Zazulina","given":"Victoria"},{"family":"Wu","given":"Yi-Long"}],"issued":{"date-parts":[["2015",7]]}}}],"schema":"https://github.com/citation-style-language/schema/raw/master/csl-citation.json"} </w:instrText>
      </w:r>
      <w:r w:rsidR="00C55B2A" w:rsidRPr="0026374F">
        <w:rPr>
          <w:rFonts w:ascii="Times New Roman" w:hAnsi="Times New Roman" w:cs="Times New Roman"/>
          <w:sz w:val="24"/>
          <w:szCs w:val="24"/>
          <w:vertAlign w:val="superscript"/>
        </w:rPr>
        <w:fldChar w:fldCharType="separate"/>
      </w:r>
      <w:r w:rsidR="00C55B2A" w:rsidRPr="0026374F">
        <w:rPr>
          <w:rFonts w:ascii="Times New Roman" w:hAnsi="Times New Roman" w:cs="Times New Roman"/>
          <w:sz w:val="24"/>
          <w:szCs w:val="24"/>
          <w:vertAlign w:val="superscript"/>
        </w:rPr>
        <w:t>6</w:t>
      </w:r>
      <w:r w:rsidR="00C55B2A" w:rsidRPr="0026374F">
        <w:rPr>
          <w:rFonts w:ascii="Times New Roman" w:hAnsi="Times New Roman" w:cs="Times New Roman"/>
          <w:sz w:val="24"/>
          <w:szCs w:val="24"/>
          <w:vertAlign w:val="superscript"/>
        </w:rPr>
        <w:fldChar w:fldCharType="end"/>
      </w:r>
      <w:r w:rsidR="00C55B2A" w:rsidRPr="0026374F">
        <w:rPr>
          <w:rFonts w:ascii="Times New Roman" w:hAnsi="Times New Roman" w:cs="Times New Roman"/>
          <w:sz w:val="24"/>
          <w:szCs w:val="24"/>
          <w:vertAlign w:val="superscript"/>
        </w:rPr>
        <w:t xml:space="preserve"> </w:t>
      </w:r>
      <w:r w:rsidR="00C55B2A" w:rsidRPr="0026374F">
        <w:rPr>
          <w:rFonts w:ascii="Times New Roman" w:hAnsi="Times New Roman" w:cs="Times New Roman"/>
          <w:sz w:val="24"/>
          <w:szCs w:val="24"/>
        </w:rPr>
        <w:t>Ngay</w:t>
      </w:r>
      <w:r w:rsidRPr="0026374F">
        <w:rPr>
          <w:rFonts w:ascii="Times New Roman" w:hAnsi="Times New Roman" w:cs="Times New Roman"/>
          <w:sz w:val="24"/>
          <w:szCs w:val="24"/>
        </w:rPr>
        <w:t xml:space="preserve"> cả liều gấp đôi osimertinib từ 80 đế</w:t>
      </w:r>
      <w:r w:rsidR="00F227D7" w:rsidRPr="0026374F">
        <w:rPr>
          <w:rFonts w:ascii="Times New Roman" w:hAnsi="Times New Roman" w:cs="Times New Roman"/>
          <w:sz w:val="24"/>
          <w:szCs w:val="24"/>
        </w:rPr>
        <w:t>n 160 mg</w:t>
      </w:r>
      <w:r w:rsidRPr="0026374F">
        <w:rPr>
          <w:rFonts w:ascii="Times New Roman" w:hAnsi="Times New Roman" w:cs="Times New Roman"/>
          <w:sz w:val="24"/>
          <w:szCs w:val="24"/>
        </w:rPr>
        <w:t xml:space="preserve"> được thử nghiệm ở 21 bệnh nhân được điều trị bằ</w:t>
      </w:r>
      <w:r w:rsidR="00F227D7" w:rsidRPr="0026374F">
        <w:rPr>
          <w:rFonts w:ascii="Times New Roman" w:hAnsi="Times New Roman" w:cs="Times New Roman"/>
          <w:sz w:val="24"/>
          <w:szCs w:val="24"/>
        </w:rPr>
        <w:t xml:space="preserve">ng thuốc EGFR-TKIs </w:t>
      </w:r>
      <w:r w:rsidRPr="0026374F">
        <w:rPr>
          <w:rFonts w:ascii="Times New Roman" w:hAnsi="Times New Roman" w:cs="Times New Roman"/>
          <w:sz w:val="24"/>
          <w:szCs w:val="24"/>
        </w:rPr>
        <w:t>trong một nghiên cứu cũng cho kết quả hoạt động kém, vớ</w:t>
      </w:r>
      <w:r w:rsidR="00F227D7" w:rsidRPr="0026374F">
        <w:rPr>
          <w:rFonts w:ascii="Times New Roman" w:hAnsi="Times New Roman" w:cs="Times New Roman"/>
          <w:sz w:val="24"/>
          <w:szCs w:val="24"/>
        </w:rPr>
        <w:t xml:space="preserve">i </w:t>
      </w:r>
      <w:r w:rsidRPr="0026374F">
        <w:rPr>
          <w:rFonts w:ascii="Times New Roman" w:hAnsi="Times New Roman" w:cs="Times New Roman"/>
          <w:sz w:val="24"/>
          <w:szCs w:val="24"/>
        </w:rPr>
        <w:t>tỷ lệ đáp ứ</w:t>
      </w:r>
      <w:r w:rsidR="00F227D7" w:rsidRPr="0026374F">
        <w:rPr>
          <w:rFonts w:ascii="Times New Roman" w:hAnsi="Times New Roman" w:cs="Times New Roman"/>
          <w:sz w:val="24"/>
          <w:szCs w:val="24"/>
        </w:rPr>
        <w:t xml:space="preserve">ng khách quan </w:t>
      </w:r>
      <w:r w:rsidRPr="0026374F">
        <w:rPr>
          <w:rFonts w:ascii="Times New Roman" w:hAnsi="Times New Roman" w:cs="Times New Roman"/>
          <w:sz w:val="24"/>
          <w:szCs w:val="24"/>
        </w:rPr>
        <w:t xml:space="preserve">là 25%, </w:t>
      </w:r>
      <w:r w:rsidR="00F227D7" w:rsidRPr="0026374F">
        <w:rPr>
          <w:rFonts w:ascii="Times New Roman" w:hAnsi="Times New Roman" w:cs="Times New Roman"/>
          <w:sz w:val="24"/>
          <w:szCs w:val="24"/>
        </w:rPr>
        <w:t>trung vị PFS</w:t>
      </w:r>
      <w:r w:rsidRPr="0026374F">
        <w:rPr>
          <w:rFonts w:ascii="Times New Roman" w:hAnsi="Times New Roman" w:cs="Times New Roman"/>
          <w:sz w:val="24"/>
          <w:szCs w:val="24"/>
        </w:rPr>
        <w:t xml:space="preserve"> là 9,7 tháng và thời gian đáp ứ</w:t>
      </w:r>
      <w:r w:rsidR="00F227D7" w:rsidRPr="0026374F">
        <w:rPr>
          <w:rFonts w:ascii="Times New Roman" w:hAnsi="Times New Roman" w:cs="Times New Roman"/>
          <w:sz w:val="24"/>
          <w:szCs w:val="24"/>
        </w:rPr>
        <w:t xml:space="preserve">ng trung bình là 5,7 tháng. </w:t>
      </w:r>
      <w:r w:rsidR="00C55B2A" w:rsidRPr="0026374F">
        <w:rPr>
          <w:rFonts w:ascii="Times New Roman" w:hAnsi="Times New Roman" w:cs="Times New Roman"/>
          <w:sz w:val="24"/>
          <w:szCs w:val="24"/>
        </w:rPr>
        <w:fldChar w:fldCharType="begin"/>
      </w:r>
      <w:r w:rsidR="00C55B2A" w:rsidRPr="0026374F">
        <w:rPr>
          <w:rFonts w:ascii="Times New Roman" w:hAnsi="Times New Roman" w:cs="Times New Roman"/>
          <w:sz w:val="24"/>
          <w:szCs w:val="24"/>
        </w:rPr>
        <w:instrText xml:space="preserve"> ADDIN ZOTERO_ITEM CSL_CITATION {"citationID":"PcIqR51O","properties":{"formattedCitation":"\\super 7\\nosupersub{}","plainCitation":"7","noteIndex":0},"citationItems":[{"id":270,"uris":["http://zotero.org/users/12066239/items/5TBDQLNI"],"itemData":{"id":270,"type":"article-journal","abstract":"OBJECTIVES: Epidermal growth factor receptor (EGFR) exon 20 insertions comprise 4-10 % of EGFR mutations in non-small cell lung cancer (NSCLC) and are associated with primary resistance to first and second generation EGFR tyrosine kinase inhibitors (TKIs). In vitro and preclinical animal studies have shown that osimertinib exerts antitumor activity against EGFR exon 20 mutation positive NSCLC. We report on a cohort of advanced stage NSCLC patients who harbor an EGFR exon 20 mutation and received osimertinib treatment.\nMATERIAL AND METHODS: Twenty-one patients were treated with osimertinib 80 or 160 mg once daily from April 2016 to June 2018, in four institutions in the Netherlands. Data were obtained retrospectively. Progression free survival (PFS), disease control rate (DCR), overall survival (OS) and objective response rate (ORR) were assessed using RECIST v1.1.\nRESULTS: Thirteen patients received prior platinum-based chemotherapy, and three patients a first - or second generation EGFR TKI. We observed 1 partial response, 17 patients with stable disease and 3 with progressive disease as best response to osimertinib (ORR 5 %). Median PFS was 3.6 (95 % CI, 2.6-4.5) months. PFS did not differ for patients with co-occurring TP53 mutations (p = 0.937). The DCR at three months was 71 %. Median OS was 8.7 (95 % CI, 1.1-16.4) months.\nCONCLUSION: Osimertinib has limited antitumor activity in patients with EGFR exon 20 mutated NSCLC, with an ORR of 5 %.","container-title":"Lung Cancer (Amsterdam, Netherlands)","DOI":"10.1016/j.lungcan.2019.12.013","ISSN":"1872-8332","journalAbbreviation":"Lung Cancer","language":"eng","note":"PMID: 31926441","page":"9-13","source":"PubMed","title":"Osimertinib treatment for patients with EGFR exon 20 mutation positive non-small cell lung cancer","volume":"141","author":[{"family":"Veggel","given":"B.","non-dropping-particle":"van"},{"family":"Madeira R Santos","given":"J. F. Vilacha"},{"family":"Hashemi","given":"S. M. S."},{"family":"Paats","given":"M. S."},{"family":"Monkhorst","given":"K."},{"family":"Heideman","given":"D. a. M."},{"family":"Groves","given":"M."},{"family":"Radonic","given":"T."},{"family":"Smit","given":"E. F."},{"family":"Schuuring","given":"E."},{"family":"Wekken","given":"A. J.","non-dropping-particle":"van der"},{"family":"Langen","given":"A. J.","non-dropping-particle":"de"}],"issued":{"date-parts":[["2020",3]]}}}],"schema":"https://github.com/citation-style-language/schema/raw/master/csl-citation.json"} </w:instrText>
      </w:r>
      <w:r w:rsidR="00C55B2A" w:rsidRPr="0026374F">
        <w:rPr>
          <w:rFonts w:ascii="Times New Roman" w:hAnsi="Times New Roman" w:cs="Times New Roman"/>
          <w:sz w:val="24"/>
          <w:szCs w:val="24"/>
        </w:rPr>
        <w:fldChar w:fldCharType="separate"/>
      </w:r>
      <w:r w:rsidR="00C55B2A" w:rsidRPr="0026374F">
        <w:rPr>
          <w:rFonts w:ascii="Times New Roman" w:hAnsi="Times New Roman" w:cs="Times New Roman"/>
          <w:sz w:val="24"/>
          <w:szCs w:val="24"/>
          <w:vertAlign w:val="superscript"/>
        </w:rPr>
        <w:t>7</w:t>
      </w:r>
      <w:r w:rsidR="00C55B2A" w:rsidRPr="0026374F">
        <w:rPr>
          <w:rFonts w:ascii="Times New Roman" w:hAnsi="Times New Roman" w:cs="Times New Roman"/>
          <w:sz w:val="24"/>
          <w:szCs w:val="24"/>
        </w:rPr>
        <w:fldChar w:fldCharType="end"/>
      </w:r>
      <w:r w:rsidR="00C55B2A" w:rsidRPr="0026374F">
        <w:rPr>
          <w:rFonts w:ascii="Times New Roman" w:hAnsi="Times New Roman" w:cs="Times New Roman"/>
          <w:sz w:val="24"/>
          <w:szCs w:val="24"/>
        </w:rPr>
        <w:t xml:space="preserve"> </w:t>
      </w:r>
      <w:r w:rsidRPr="0026374F">
        <w:rPr>
          <w:rFonts w:ascii="Times New Roman" w:hAnsi="Times New Roman" w:cs="Times New Roman"/>
          <w:sz w:val="24"/>
          <w:szCs w:val="24"/>
        </w:rPr>
        <w:t>Tương tự như vậy, thuốc ức chế điểm kiểm soát miễn dịch mang lại kết quả</w:t>
      </w:r>
      <w:r w:rsidR="0026374F">
        <w:rPr>
          <w:rFonts w:ascii="Times New Roman" w:hAnsi="Times New Roman" w:cs="Times New Roman"/>
          <w:sz w:val="24"/>
          <w:szCs w:val="24"/>
        </w:rPr>
        <w:t xml:space="preserve"> kém cho e</w:t>
      </w:r>
      <w:r w:rsidRPr="0026374F">
        <w:rPr>
          <w:rFonts w:ascii="Times New Roman" w:hAnsi="Times New Roman" w:cs="Times New Roman"/>
          <w:sz w:val="24"/>
          <w:szCs w:val="24"/>
        </w:rPr>
        <w:t xml:space="preserve">x20ins, </w:t>
      </w:r>
      <w:r w:rsidR="00F227D7" w:rsidRPr="0026374F">
        <w:rPr>
          <w:rFonts w:ascii="Times New Roman" w:hAnsi="Times New Roman" w:cs="Times New Roman"/>
          <w:sz w:val="24"/>
          <w:szCs w:val="24"/>
        </w:rPr>
        <w:t>kể cả khi</w:t>
      </w:r>
      <w:r w:rsidRPr="0026374F">
        <w:rPr>
          <w:rFonts w:ascii="Times New Roman" w:hAnsi="Times New Roman" w:cs="Times New Roman"/>
          <w:sz w:val="24"/>
          <w:szCs w:val="24"/>
        </w:rPr>
        <w:t xml:space="preserve"> dùng riêng lẻ hoặc kết hợp với hóa trị liệ</w:t>
      </w:r>
      <w:r w:rsidR="00F227D7" w:rsidRPr="0026374F">
        <w:rPr>
          <w:rFonts w:ascii="Times New Roman" w:hAnsi="Times New Roman" w:cs="Times New Roman"/>
          <w:sz w:val="24"/>
          <w:szCs w:val="24"/>
        </w:rPr>
        <w:t>u trong</w:t>
      </w:r>
      <w:r w:rsidRPr="0026374F">
        <w:rPr>
          <w:rFonts w:ascii="Times New Roman" w:hAnsi="Times New Roman" w:cs="Times New Roman"/>
          <w:sz w:val="24"/>
          <w:szCs w:val="24"/>
        </w:rPr>
        <w:t xml:space="preserve"> có tỷ lệ đáp ứng từ 0% đế</w:t>
      </w:r>
      <w:r w:rsidR="00F227D7" w:rsidRPr="0026374F">
        <w:rPr>
          <w:rFonts w:ascii="Times New Roman" w:hAnsi="Times New Roman" w:cs="Times New Roman"/>
          <w:sz w:val="24"/>
          <w:szCs w:val="24"/>
        </w:rPr>
        <w:t xml:space="preserve">n 25% và PFS là 2 </w:t>
      </w:r>
      <w:r w:rsidRPr="0026374F">
        <w:rPr>
          <w:rFonts w:ascii="Times New Roman" w:hAnsi="Times New Roman" w:cs="Times New Roman"/>
          <w:sz w:val="24"/>
          <w:szCs w:val="24"/>
        </w:rPr>
        <w:t>đến 3 tháng.</w:t>
      </w:r>
      <w:r w:rsidR="00C55B2A" w:rsidRPr="0026374F">
        <w:rPr>
          <w:rFonts w:ascii="Times New Roman" w:hAnsi="Times New Roman" w:cs="Times New Roman"/>
          <w:sz w:val="24"/>
          <w:szCs w:val="24"/>
        </w:rPr>
        <w:t xml:space="preserve"> </w:t>
      </w:r>
      <w:r w:rsidR="00C55B2A" w:rsidRPr="0026374F">
        <w:rPr>
          <w:rFonts w:ascii="Times New Roman" w:hAnsi="Times New Roman" w:cs="Times New Roman"/>
          <w:sz w:val="24"/>
          <w:szCs w:val="24"/>
        </w:rPr>
        <w:fldChar w:fldCharType="begin"/>
      </w:r>
      <w:r w:rsidR="00C55B2A" w:rsidRPr="0026374F">
        <w:rPr>
          <w:rFonts w:ascii="Times New Roman" w:hAnsi="Times New Roman" w:cs="Times New Roman"/>
          <w:sz w:val="24"/>
          <w:szCs w:val="24"/>
        </w:rPr>
        <w:instrText xml:space="preserve"> ADDIN ZOTERO_ITEM CSL_CITATION {"citationID":"z2hl0ydC","properties":{"formattedCitation":"\\super 8\\nosupersub{}","plainCitation":"8","noteIndex":0},"citationItems":[{"id":269,"uris":["http://zotero.org/users/12066239/items/B338B5C7"],"itemData":{"id":269,"type":"article-journal","abstract":"9052\n\nBackground: Immune checkpoint blockade has led to unprecedented durable clinical benefit in metastatic non-small cell lung cancer (NSCLC), but response rates are low for patients with targetable driver mutations. EGFR and HER-2 exon 20 mutations account for ~4% of NSCLC, but outcomes for these patients when treated with immune checkpoint blockade have not been previously reported. Methods: We queried GEMINI, a MD Anderson Lung Cancer Moon Shot funded database for prospective collection of clinical information for patients with NSCLC, for patients with driver mutations in EGFR exon 19, 20, 21 and HER-2 exon 20 and treated with immune checkpoint inhibitors. We assessed overall survival (OS), progression-free survival (PFS) and overall response rate (ORR). Results: From 2014 to 2018, 90 patients with classic EGFR mutations (exon 19 del + exon 21 L858R, n = 38), EGFR exon 20 mutations (n = 36; no T790M included) and HER-2 exon 20 mutations (n = 16) had been treated with checkpoint inhibitors. Compared to classic EGFR mutants, EGFR exon 20 mutants demonstrated a higher disease control rate at 6 and 12 months as well as higher ORR. Also, EGFR exon 20 mutants demonstrated significantly higher PFS (HR 0.45, p = 0.002) and OS (HR 0.2, p &lt; 0.001) (Table). These differences remained significant in multivariate analysis after adjusting for age, smoking status, radiation prior to treatment initiation and treatment with concurrent agents such as chemotherapy and/or radiation. HER-2 exon 20 mutants had similar ORR and PFS compared to classic EGFR mutants (HR 1.1, p = 0.8) (Table). Conclusions: EGFR exon 20 mutations are associated with superior outcome from immune checkpoint inhibitors compared to classic EGFR and HER-2 exon 20 mutations. Further studies on PD-L1 status and tumor mutation burden in these molecularly-defined groups are ongoing to address potential underlying mechanisms associated with these findings.\n\n\tEGFR exon 20\nN = 36\tClassic EGFR\nN = 38\tHER-2 exon 20\nN = 16\nDisease control – N (%)\n6 months\t13 (36)\t6 (16)\t0 (0)\n12 months\t4 (11)\t0 (0)\t0 (0)\nResponse rate – N (%)\t\t\t\nCR\t1 (3)\t0 (0)\t0 (0)\nPR\t8 (22)\t0 (0)\t1 (6)\nSD\t9 (25)\t6 (16)\t2 (13)\nPD\t15 (42)\t32 (84)\t13 (81)\nNA\t3 (8)\t0 (0)\t0 (0)\nSurvival – median\t\t\t\nPFS\t2.9\t1.9\t1.8\nOS\tNR\t11.5\t17.1","container-title":"Journal of Clinical Oncology","DOI":"10.1200/JCO.2018.36.15_suppl.9052","ISSN":"0732-183X","issue":"15_suppl","journalAbbreviation":"JCO","note":"publisher: Wolters Kluwer","page":"9052-9052","source":"ascopubs.org (Atypon)","title":"Association of EGFR and HER-2 exon 20 mutations with distinct patterns of response to immune checkpoint blockade in non-small cell lung cancer.","volume":"36","author":[{"family":"Negrao","given":"Marcelo Vailati"},{"family":"Reuben","given":"Alexandre"},{"family":"Robichaux","given":"Jacqulyne Ponville"},{"family":"Le","given":"Xiuning"},{"family":"Nilsson","given":"Monique B."},{"family":"Wu","given":"Chang-jiun"},{"family":"Zhang","given":"Jianhua"},{"family":"Landry","given":"Lara C.A."},{"family":"Roarty","given":"Emily"},{"family":"Rinsurongkawong","given":"Waree"},{"family":"Swisher","given":"Stephen"},{"family":"Simon","given":"George R."},{"family":"Futreal","given":"Andrew"},{"family":"Glisson","given":"Bonnie S."},{"family":"Zhang","given":"Jianjun"},{"family":"Heymach","given":"John"}],"issued":{"date-parts":[["2018",5,20]]}}}],"schema":"https://github.com/citation-style-language/schema/raw/master/csl-citation.json"} </w:instrText>
      </w:r>
      <w:r w:rsidR="00C55B2A" w:rsidRPr="0026374F">
        <w:rPr>
          <w:rFonts w:ascii="Times New Roman" w:hAnsi="Times New Roman" w:cs="Times New Roman"/>
          <w:sz w:val="24"/>
          <w:szCs w:val="24"/>
        </w:rPr>
        <w:fldChar w:fldCharType="separate"/>
      </w:r>
      <w:r w:rsidR="00C55B2A" w:rsidRPr="0026374F">
        <w:rPr>
          <w:rFonts w:ascii="Times New Roman" w:hAnsi="Times New Roman" w:cs="Times New Roman"/>
          <w:sz w:val="24"/>
          <w:szCs w:val="24"/>
          <w:vertAlign w:val="superscript"/>
        </w:rPr>
        <w:t>8</w:t>
      </w:r>
      <w:r w:rsidR="00C55B2A" w:rsidRPr="0026374F">
        <w:rPr>
          <w:rFonts w:ascii="Times New Roman" w:hAnsi="Times New Roman" w:cs="Times New Roman"/>
          <w:sz w:val="24"/>
          <w:szCs w:val="24"/>
        </w:rPr>
        <w:fldChar w:fldCharType="end"/>
      </w:r>
      <w:r w:rsidR="0038045D" w:rsidRPr="0026374F">
        <w:rPr>
          <w:rFonts w:ascii="Times New Roman" w:hAnsi="Times New Roman" w:cs="Times New Roman"/>
          <w:sz w:val="24"/>
          <w:szCs w:val="24"/>
        </w:rPr>
        <w:t xml:space="preserve"> Kháng thể đơn dòng amivantamab kết hợp hóa chất bộ đôi có platinum giúp cải thiện thời gian sống thêm cho bệnh nhân UTPKKTBN có EGFRex20ins.</w:t>
      </w:r>
      <w:r w:rsidR="00C55B2A" w:rsidRPr="0026374F">
        <w:rPr>
          <w:rFonts w:ascii="Times New Roman" w:hAnsi="Times New Roman" w:cs="Times New Roman"/>
          <w:sz w:val="24"/>
          <w:szCs w:val="24"/>
        </w:rPr>
        <w:t xml:space="preserve"> </w:t>
      </w:r>
      <w:r w:rsidR="00C55B2A" w:rsidRPr="0026374F">
        <w:rPr>
          <w:rFonts w:ascii="Times New Roman" w:hAnsi="Times New Roman" w:cs="Times New Roman"/>
          <w:sz w:val="24"/>
          <w:szCs w:val="24"/>
        </w:rPr>
        <w:fldChar w:fldCharType="begin"/>
      </w:r>
      <w:r w:rsidR="00C55B2A" w:rsidRPr="0026374F">
        <w:rPr>
          <w:rFonts w:ascii="Times New Roman" w:hAnsi="Times New Roman" w:cs="Times New Roman"/>
          <w:sz w:val="24"/>
          <w:szCs w:val="24"/>
        </w:rPr>
        <w:instrText xml:space="preserve"> ADDIN ZOTERO_ITEM CSL_CITATION {"citationID":"fYwEJEGP","properties":{"formattedCitation":"\\super 9\\nosupersub{}","plainCitation":"9","noteIndex":0},"citationItems":[{"id":249,"uris":["http://zotero.org/users/12066239/items/KDR6K664"],"itemData":{"id":249,"type":"webpage","title":"Amivantamab plus Chemotherapy in NSCLC with EGFR Exon 20 Insertions | NEJM","URL":"https://www.nejm.org/doi/full/10.1056/NEJMoa2306441","accessed":{"date-parts":[["2023",11,24]]}}}],"schema":"https://github.com/citation-style-language/schema/raw/master/csl-citation.json"} </w:instrText>
      </w:r>
      <w:r w:rsidR="00C55B2A" w:rsidRPr="0026374F">
        <w:rPr>
          <w:rFonts w:ascii="Times New Roman" w:hAnsi="Times New Roman" w:cs="Times New Roman"/>
          <w:sz w:val="24"/>
          <w:szCs w:val="24"/>
        </w:rPr>
        <w:fldChar w:fldCharType="separate"/>
      </w:r>
      <w:r w:rsidR="00C55B2A" w:rsidRPr="0026374F">
        <w:rPr>
          <w:rFonts w:ascii="Times New Roman" w:hAnsi="Times New Roman" w:cs="Times New Roman"/>
          <w:sz w:val="24"/>
          <w:szCs w:val="24"/>
          <w:vertAlign w:val="superscript"/>
        </w:rPr>
        <w:t>9</w:t>
      </w:r>
      <w:r w:rsidR="00C55B2A" w:rsidRPr="0026374F">
        <w:rPr>
          <w:rFonts w:ascii="Times New Roman" w:hAnsi="Times New Roman" w:cs="Times New Roman"/>
          <w:sz w:val="24"/>
          <w:szCs w:val="24"/>
        </w:rPr>
        <w:fldChar w:fldCharType="end"/>
      </w:r>
      <w:r w:rsidR="0038045D" w:rsidRPr="0026374F">
        <w:rPr>
          <w:rFonts w:ascii="Times New Roman" w:hAnsi="Times New Roman" w:cs="Times New Roman"/>
          <w:sz w:val="24"/>
          <w:szCs w:val="24"/>
        </w:rPr>
        <w:t xml:space="preserve"> Tuy nhiên </w:t>
      </w:r>
      <w:r w:rsidR="008C7C14" w:rsidRPr="0026374F">
        <w:rPr>
          <w:rFonts w:ascii="Times New Roman" w:hAnsi="Times New Roman" w:cs="Times New Roman"/>
          <w:sz w:val="24"/>
          <w:szCs w:val="24"/>
        </w:rPr>
        <w:t>tại Việt Nam thuốc vẫn chưa được Bộ</w:t>
      </w:r>
      <w:r w:rsidR="0026374F">
        <w:rPr>
          <w:rFonts w:ascii="Times New Roman" w:hAnsi="Times New Roman" w:cs="Times New Roman"/>
          <w:sz w:val="24"/>
          <w:szCs w:val="24"/>
        </w:rPr>
        <w:t xml:space="preserve"> Y t</w:t>
      </w:r>
      <w:r w:rsidR="008C7C14" w:rsidRPr="0026374F">
        <w:rPr>
          <w:rFonts w:ascii="Times New Roman" w:hAnsi="Times New Roman" w:cs="Times New Roman"/>
          <w:sz w:val="24"/>
          <w:szCs w:val="24"/>
        </w:rPr>
        <w:t xml:space="preserve">ế phê duyệt. </w:t>
      </w:r>
    </w:p>
    <w:p w:rsidR="00BA2B4F" w:rsidRPr="0026374F" w:rsidRDefault="00CC0CA1" w:rsidP="00043A74">
      <w:pPr>
        <w:spacing w:after="0" w:line="240" w:lineRule="auto"/>
        <w:ind w:firstLine="720"/>
        <w:jc w:val="both"/>
        <w:rPr>
          <w:rFonts w:ascii="Times New Roman" w:hAnsi="Times New Roman" w:cs="Times New Roman"/>
          <w:sz w:val="24"/>
          <w:szCs w:val="24"/>
        </w:rPr>
      </w:pPr>
      <w:r w:rsidRPr="0026374F">
        <w:rPr>
          <w:rFonts w:ascii="Times New Roman" w:hAnsi="Times New Roman" w:cs="Times New Roman"/>
          <w:sz w:val="24"/>
          <w:szCs w:val="24"/>
        </w:rPr>
        <w:t>Do đó, điều trị</w:t>
      </w:r>
      <w:r w:rsidR="008C7C14" w:rsidRPr="0026374F">
        <w:rPr>
          <w:rFonts w:ascii="Times New Roman" w:hAnsi="Times New Roman" w:cs="Times New Roman"/>
          <w:sz w:val="24"/>
          <w:szCs w:val="24"/>
        </w:rPr>
        <w:t xml:space="preserve"> </w:t>
      </w:r>
      <w:r w:rsidRPr="0026374F">
        <w:rPr>
          <w:rFonts w:ascii="Times New Roman" w:hAnsi="Times New Roman" w:cs="Times New Roman"/>
          <w:sz w:val="24"/>
          <w:szCs w:val="24"/>
        </w:rPr>
        <w:t xml:space="preserve">cho </w:t>
      </w:r>
      <w:r w:rsidR="008C7C14" w:rsidRPr="0026374F">
        <w:rPr>
          <w:rFonts w:ascii="Times New Roman" w:hAnsi="Times New Roman" w:cs="Times New Roman"/>
          <w:sz w:val="24"/>
          <w:szCs w:val="24"/>
        </w:rPr>
        <w:t xml:space="preserve">phần lớn </w:t>
      </w:r>
      <w:r w:rsidRPr="0026374F">
        <w:rPr>
          <w:rFonts w:ascii="Times New Roman" w:hAnsi="Times New Roman" w:cs="Times New Roman"/>
          <w:sz w:val="24"/>
          <w:szCs w:val="24"/>
        </w:rPr>
        <w:t>bệnh nhân UTPKKTBN có EGFRex20ins giai đoạn tái phát di căn hiện này vẫn là hóa chất bộ đôi có platinum. Tuy nhiên</w:t>
      </w:r>
      <w:r w:rsidR="0076758C" w:rsidRPr="0026374F">
        <w:rPr>
          <w:rFonts w:ascii="Times New Roman" w:hAnsi="Times New Roman" w:cs="Times New Roman"/>
          <w:sz w:val="24"/>
          <w:szCs w:val="24"/>
        </w:rPr>
        <w:t>, tại Việt Nam có rất ít nghiên cứu về kết quả điều trị của bệnh. Chính vì vậy, chúng tôi tiến hành nghiên cứu này với hai mục tiêu:</w:t>
      </w:r>
    </w:p>
    <w:p w:rsidR="00BA2B4F" w:rsidRPr="00B164AE" w:rsidRDefault="00BA2B4F" w:rsidP="00B164AE">
      <w:pPr>
        <w:pStyle w:val="ListParagraph"/>
        <w:numPr>
          <w:ilvl w:val="0"/>
          <w:numId w:val="6"/>
        </w:numPr>
        <w:spacing w:after="0" w:line="240" w:lineRule="auto"/>
        <w:jc w:val="both"/>
        <w:rPr>
          <w:rFonts w:ascii="Times New Roman" w:hAnsi="Times New Roman" w:cs="Times New Roman"/>
          <w:i/>
          <w:sz w:val="24"/>
          <w:szCs w:val="24"/>
        </w:rPr>
      </w:pPr>
      <w:r w:rsidRPr="00B164AE">
        <w:rPr>
          <w:rFonts w:ascii="Times New Roman" w:hAnsi="Times New Roman" w:cs="Times New Roman"/>
          <w:i/>
          <w:sz w:val="24"/>
          <w:szCs w:val="24"/>
        </w:rPr>
        <w:t>Đánh giá kết quả điều trị hóa chất bước một bệnh nhân ung thư phổi không tế bào nhỏ giai đoạn tái phát di căn có đột biến chèn đoạn exon 20</w:t>
      </w:r>
      <w:r w:rsidR="0076758C" w:rsidRPr="00B164AE">
        <w:rPr>
          <w:rFonts w:ascii="Times New Roman" w:hAnsi="Times New Roman" w:cs="Times New Roman"/>
          <w:i/>
          <w:sz w:val="24"/>
          <w:szCs w:val="24"/>
        </w:rPr>
        <w:t xml:space="preserve">. </w:t>
      </w:r>
    </w:p>
    <w:p w:rsidR="0076758C" w:rsidRPr="00B164AE" w:rsidRDefault="00BA2B4F" w:rsidP="00B164AE">
      <w:pPr>
        <w:pStyle w:val="ListParagraph"/>
        <w:numPr>
          <w:ilvl w:val="0"/>
          <w:numId w:val="6"/>
        </w:numPr>
        <w:spacing w:after="0" w:line="240" w:lineRule="auto"/>
        <w:jc w:val="both"/>
        <w:rPr>
          <w:rFonts w:ascii="Times New Roman" w:hAnsi="Times New Roman" w:cs="Times New Roman"/>
          <w:i/>
          <w:sz w:val="24"/>
          <w:szCs w:val="24"/>
        </w:rPr>
      </w:pPr>
      <w:r w:rsidRPr="00B164AE">
        <w:rPr>
          <w:rFonts w:ascii="Times New Roman" w:hAnsi="Times New Roman" w:cs="Times New Roman"/>
          <w:i/>
          <w:sz w:val="24"/>
          <w:szCs w:val="24"/>
        </w:rPr>
        <w:t>Đánh giá tác dụng không mong muốn của phác đồ trên nhóm bệnh nhân nghiên cứu</w:t>
      </w:r>
      <w:r w:rsidR="0076758C" w:rsidRPr="00B164AE">
        <w:rPr>
          <w:rFonts w:ascii="Times New Roman" w:hAnsi="Times New Roman" w:cs="Times New Roman"/>
          <w:i/>
          <w:sz w:val="24"/>
          <w:szCs w:val="24"/>
        </w:rPr>
        <w:t>.</w:t>
      </w:r>
    </w:p>
    <w:p w:rsidR="0076758C" w:rsidRPr="00B164AE" w:rsidRDefault="00B164AE" w:rsidP="00B164AE">
      <w:pPr>
        <w:spacing w:after="0" w:line="240" w:lineRule="auto"/>
        <w:jc w:val="both"/>
        <w:rPr>
          <w:rFonts w:ascii="Times New Roman" w:hAnsi="Times New Roman" w:cs="Times New Roman"/>
          <w:b/>
          <w:sz w:val="24"/>
          <w:szCs w:val="24"/>
        </w:rPr>
      </w:pPr>
      <w:r w:rsidRPr="00B164AE">
        <w:rPr>
          <w:rFonts w:ascii="Times New Roman" w:hAnsi="Times New Roman" w:cs="Times New Roman"/>
          <w:b/>
          <w:sz w:val="24"/>
          <w:szCs w:val="24"/>
        </w:rPr>
        <w:t xml:space="preserve">II. </w:t>
      </w:r>
      <w:r w:rsidR="0076758C" w:rsidRPr="00B164AE">
        <w:rPr>
          <w:rFonts w:ascii="Times New Roman" w:hAnsi="Times New Roman" w:cs="Times New Roman"/>
          <w:b/>
          <w:sz w:val="24"/>
          <w:szCs w:val="24"/>
        </w:rPr>
        <w:t xml:space="preserve">ĐỐI TƯỢNG VÀ PHƯƠNG PHÁP </w:t>
      </w:r>
    </w:p>
    <w:p w:rsidR="0076758C" w:rsidRPr="00B164AE" w:rsidRDefault="00B164AE" w:rsidP="00043A74">
      <w:pPr>
        <w:spacing w:after="0" w:line="240" w:lineRule="auto"/>
        <w:ind w:firstLine="720"/>
        <w:jc w:val="both"/>
        <w:rPr>
          <w:rFonts w:ascii="Times New Roman" w:hAnsi="Times New Roman" w:cs="Times New Roman"/>
          <w:b/>
          <w:i/>
          <w:sz w:val="24"/>
          <w:szCs w:val="24"/>
        </w:rPr>
      </w:pPr>
      <w:r w:rsidRPr="00B164AE">
        <w:rPr>
          <w:rFonts w:ascii="Times New Roman" w:hAnsi="Times New Roman" w:cs="Times New Roman"/>
          <w:b/>
          <w:i/>
          <w:sz w:val="24"/>
          <w:szCs w:val="24"/>
        </w:rPr>
        <w:t xml:space="preserve">2.1 </w:t>
      </w:r>
      <w:r w:rsidR="0076758C" w:rsidRPr="00B164AE">
        <w:rPr>
          <w:rFonts w:ascii="Times New Roman" w:hAnsi="Times New Roman" w:cs="Times New Roman"/>
          <w:b/>
          <w:i/>
          <w:sz w:val="24"/>
          <w:szCs w:val="24"/>
        </w:rPr>
        <w:t xml:space="preserve">Đối tượng </w:t>
      </w:r>
      <w:r>
        <w:rPr>
          <w:rFonts w:ascii="Times New Roman" w:hAnsi="Times New Roman" w:cs="Times New Roman"/>
          <w:b/>
          <w:i/>
          <w:sz w:val="24"/>
          <w:szCs w:val="24"/>
        </w:rPr>
        <w:t xml:space="preserve"> </w:t>
      </w:r>
    </w:p>
    <w:p w:rsidR="0076758C" w:rsidRPr="00B164AE" w:rsidRDefault="0076758C" w:rsidP="00B164AE">
      <w:pPr>
        <w:spacing w:after="0" w:line="240" w:lineRule="auto"/>
        <w:ind w:firstLine="720"/>
        <w:jc w:val="both"/>
        <w:rPr>
          <w:rFonts w:ascii="Times New Roman" w:hAnsi="Times New Roman" w:cs="Times New Roman"/>
          <w:sz w:val="24"/>
          <w:szCs w:val="24"/>
        </w:rPr>
      </w:pPr>
      <w:r w:rsidRPr="00B164AE">
        <w:rPr>
          <w:rFonts w:ascii="Times New Roman" w:hAnsi="Times New Roman" w:cs="Times New Roman"/>
          <w:sz w:val="24"/>
          <w:szCs w:val="24"/>
        </w:rPr>
        <w:t>Gồm 35 bệnh nhân được chẩn đoán xác định ung thư phổi không tế bào nhỏ giai đoạn IV có đột biến chèn đoạn EGFR exon 20 được điều trị hóa chất bộ đôi có platinum bước một tại Bệnh viện K từ tháng 01/2019 đến tháng 06/2024.</w:t>
      </w:r>
      <w:r w:rsidR="00B164AE">
        <w:rPr>
          <w:rFonts w:ascii="Times New Roman" w:hAnsi="Times New Roman" w:cs="Times New Roman"/>
          <w:sz w:val="24"/>
          <w:szCs w:val="24"/>
        </w:rPr>
        <w:t xml:space="preserve"> </w:t>
      </w:r>
    </w:p>
    <w:p w:rsidR="0076758C" w:rsidRPr="00B164AE" w:rsidRDefault="0076758C" w:rsidP="00B164AE">
      <w:pPr>
        <w:spacing w:after="0" w:line="240" w:lineRule="auto"/>
        <w:jc w:val="both"/>
        <w:rPr>
          <w:rFonts w:ascii="Times New Roman" w:hAnsi="Times New Roman" w:cs="Times New Roman"/>
          <w:i/>
          <w:sz w:val="24"/>
          <w:szCs w:val="24"/>
        </w:rPr>
      </w:pPr>
      <w:r w:rsidRPr="00B164AE">
        <w:rPr>
          <w:rFonts w:ascii="Times New Roman" w:hAnsi="Times New Roman" w:cs="Times New Roman"/>
          <w:i/>
          <w:sz w:val="24"/>
          <w:szCs w:val="24"/>
        </w:rPr>
        <w:t>Tiêu chuẩn lựa chọ</w:t>
      </w:r>
      <w:r w:rsidR="00B164AE">
        <w:rPr>
          <w:rFonts w:ascii="Times New Roman" w:hAnsi="Times New Roman" w:cs="Times New Roman"/>
          <w:i/>
          <w:sz w:val="24"/>
          <w:szCs w:val="24"/>
        </w:rPr>
        <w:t>n:</w:t>
      </w:r>
    </w:p>
    <w:p w:rsidR="0076758C" w:rsidRPr="00B164AE" w:rsidRDefault="0076758C" w:rsidP="00B164AE">
      <w:pPr>
        <w:pStyle w:val="ListParagraph"/>
        <w:numPr>
          <w:ilvl w:val="0"/>
          <w:numId w:val="11"/>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t>Chẩn đoán xác định ung thư phổi không tế bào nhỏ giai đoạn IV theo AJCC phiên bản 8.</w:t>
      </w:r>
    </w:p>
    <w:p w:rsidR="0076758C" w:rsidRPr="00B164AE" w:rsidRDefault="0076758C" w:rsidP="00B164AE">
      <w:pPr>
        <w:pStyle w:val="ListParagraph"/>
        <w:numPr>
          <w:ilvl w:val="0"/>
          <w:numId w:val="11"/>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lastRenderedPageBreak/>
        <w:t>Có đột biến EGFR vị trí chèn đoạn exon 20, không có các đột biến khác kèm theo, được xác định bằng kỹ thuật giải trình tự gen thế hệ mới NGS (Next generation sequencing) hoặc Real-time PCR thực hiện trên máy Cobas EGFR mutation test v2.</w:t>
      </w:r>
    </w:p>
    <w:p w:rsidR="0076758C" w:rsidRPr="00B164AE" w:rsidRDefault="0076758C" w:rsidP="00B164AE">
      <w:pPr>
        <w:pStyle w:val="ListParagraph"/>
        <w:numPr>
          <w:ilvl w:val="0"/>
          <w:numId w:val="11"/>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t>Có các tổn thương có thể đo lường được được bằng chẩn đoán hình ảnh: MRI, CT</w:t>
      </w:r>
      <w:r w:rsidR="0006279A">
        <w:rPr>
          <w:rFonts w:ascii="Times New Roman" w:hAnsi="Times New Roman" w:cs="Times New Roman"/>
          <w:sz w:val="24"/>
          <w:szCs w:val="24"/>
        </w:rPr>
        <w:t>-</w:t>
      </w:r>
      <w:r w:rsidRPr="00B164AE">
        <w:rPr>
          <w:rFonts w:ascii="Times New Roman" w:hAnsi="Times New Roman" w:cs="Times New Roman"/>
          <w:sz w:val="24"/>
          <w:szCs w:val="24"/>
        </w:rPr>
        <w:t>scanner. Bệnh nhân di căn não không có triệu chứng hoặc đã điều trị ổn định cũng được chấp nhận vào nghiên cứu</w:t>
      </w:r>
      <w:r w:rsidR="00B164AE">
        <w:rPr>
          <w:rFonts w:ascii="Times New Roman" w:hAnsi="Times New Roman" w:cs="Times New Roman"/>
          <w:sz w:val="24"/>
          <w:szCs w:val="24"/>
        </w:rPr>
        <w:t>.</w:t>
      </w:r>
    </w:p>
    <w:p w:rsidR="0076758C" w:rsidRPr="00B164AE" w:rsidRDefault="0076758C" w:rsidP="00B164AE">
      <w:pPr>
        <w:pStyle w:val="ListParagraph"/>
        <w:numPr>
          <w:ilvl w:val="0"/>
          <w:numId w:val="11"/>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t xml:space="preserve">Được điều trị hóa chất bộ đôi có platinum ít nhất 2 chu kỳ, tối đa 6 chu kỳ hóa chất. </w:t>
      </w:r>
    </w:p>
    <w:p w:rsidR="0076758C" w:rsidRPr="00B164AE" w:rsidRDefault="0076758C" w:rsidP="00B164AE">
      <w:pPr>
        <w:pStyle w:val="ListParagraph"/>
        <w:numPr>
          <w:ilvl w:val="0"/>
          <w:numId w:val="11"/>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t>Không kể giới tính, tuổi &gt; 18 tuổi, chỉ số toàn trạng PS = 0, 1.</w:t>
      </w:r>
    </w:p>
    <w:p w:rsidR="0006279A" w:rsidRDefault="0076758C" w:rsidP="0006279A">
      <w:pPr>
        <w:pStyle w:val="ListParagraph"/>
        <w:numPr>
          <w:ilvl w:val="0"/>
          <w:numId w:val="11"/>
        </w:numPr>
        <w:spacing w:after="0" w:line="240" w:lineRule="auto"/>
        <w:jc w:val="both"/>
        <w:rPr>
          <w:rFonts w:ascii="Times New Roman" w:hAnsi="Times New Roman" w:cs="Times New Roman"/>
          <w:sz w:val="24"/>
          <w:szCs w:val="24"/>
        </w:rPr>
      </w:pPr>
      <w:r w:rsidRPr="0006279A">
        <w:rPr>
          <w:rFonts w:ascii="Times New Roman" w:hAnsi="Times New Roman" w:cs="Times New Roman"/>
          <w:sz w:val="24"/>
          <w:szCs w:val="24"/>
        </w:rPr>
        <w:t>Chức năng gan, thận, tủy xương trong giới hạn cho phép điều trị: bạch cầu (BC) ≥ 4 (G/l); tiểu cầu (TC) ≥ 100 (G/l); HST ≥ 100 (g/l); AST, ALT ≤ 2 lần giới hạn bình thường; bilirubin toàn phần ≤ 1,5 lần giới hạn bình thường; creatinin ≤ 1,5 lần giới hạn bình thườ</w:t>
      </w:r>
      <w:r w:rsidR="0006279A">
        <w:rPr>
          <w:rFonts w:ascii="Times New Roman" w:hAnsi="Times New Roman" w:cs="Times New Roman"/>
          <w:sz w:val="24"/>
          <w:szCs w:val="24"/>
        </w:rPr>
        <w:t>ng.</w:t>
      </w:r>
    </w:p>
    <w:p w:rsidR="0076758C" w:rsidRPr="0006279A" w:rsidRDefault="0076758C" w:rsidP="0006279A">
      <w:pPr>
        <w:pStyle w:val="ListParagraph"/>
        <w:numPr>
          <w:ilvl w:val="0"/>
          <w:numId w:val="11"/>
        </w:numPr>
        <w:spacing w:after="0" w:line="240" w:lineRule="auto"/>
        <w:jc w:val="both"/>
        <w:rPr>
          <w:rFonts w:ascii="Times New Roman" w:hAnsi="Times New Roman" w:cs="Times New Roman"/>
          <w:sz w:val="24"/>
          <w:szCs w:val="24"/>
        </w:rPr>
      </w:pPr>
      <w:r w:rsidRPr="0006279A">
        <w:rPr>
          <w:rFonts w:ascii="Times New Roman" w:hAnsi="Times New Roman" w:cs="Times New Roman"/>
          <w:sz w:val="24"/>
          <w:szCs w:val="24"/>
        </w:rPr>
        <w:t>Bệnh nhân có hồ sơ lưu trữ đầy đủ.</w:t>
      </w:r>
    </w:p>
    <w:p w:rsidR="0076758C" w:rsidRPr="00B164AE" w:rsidRDefault="0076758C" w:rsidP="00B164AE">
      <w:pPr>
        <w:spacing w:after="0" w:line="240" w:lineRule="auto"/>
        <w:jc w:val="both"/>
        <w:rPr>
          <w:rFonts w:ascii="Times New Roman" w:hAnsi="Times New Roman" w:cs="Times New Roman"/>
          <w:i/>
          <w:sz w:val="24"/>
          <w:szCs w:val="24"/>
        </w:rPr>
      </w:pPr>
      <w:r w:rsidRPr="00B164AE">
        <w:rPr>
          <w:rFonts w:ascii="Times New Roman" w:hAnsi="Times New Roman" w:cs="Times New Roman"/>
          <w:i/>
          <w:sz w:val="24"/>
          <w:szCs w:val="24"/>
        </w:rPr>
        <w:t>Tiêu chuẩn loại trừ</w:t>
      </w:r>
      <w:r w:rsidR="00B164AE" w:rsidRPr="00B164AE">
        <w:rPr>
          <w:rFonts w:ascii="Times New Roman" w:hAnsi="Times New Roman" w:cs="Times New Roman"/>
          <w:i/>
          <w:sz w:val="24"/>
          <w:szCs w:val="24"/>
        </w:rPr>
        <w:t>:</w:t>
      </w:r>
    </w:p>
    <w:p w:rsidR="0076758C" w:rsidRPr="00B164AE" w:rsidRDefault="0076758C" w:rsidP="00B164AE">
      <w:pPr>
        <w:pStyle w:val="ListParagraph"/>
        <w:numPr>
          <w:ilvl w:val="0"/>
          <w:numId w:val="10"/>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t xml:space="preserve">Bệnh nhân mắc ung thư thứ hai. </w:t>
      </w:r>
    </w:p>
    <w:p w:rsidR="0076758C" w:rsidRPr="00B164AE" w:rsidRDefault="0076758C" w:rsidP="00B164AE">
      <w:pPr>
        <w:pStyle w:val="ListParagraph"/>
        <w:numPr>
          <w:ilvl w:val="0"/>
          <w:numId w:val="10"/>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t xml:space="preserve">Các trường hợp chống chỉ định với thuốc như suy gan, suy thận hoặc dị ứng với các thành phần của thuốc. </w:t>
      </w:r>
    </w:p>
    <w:p w:rsidR="0076758C" w:rsidRPr="00B164AE" w:rsidRDefault="0076758C" w:rsidP="00B164AE">
      <w:pPr>
        <w:pStyle w:val="ListParagraph"/>
        <w:numPr>
          <w:ilvl w:val="0"/>
          <w:numId w:val="10"/>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t xml:space="preserve">Bệnh nhân có di căn não chưa được kiểm soát ổn định. </w:t>
      </w:r>
    </w:p>
    <w:p w:rsidR="0076758C" w:rsidRPr="00B164AE" w:rsidRDefault="0076758C" w:rsidP="00B164AE">
      <w:pPr>
        <w:pStyle w:val="ListParagraph"/>
        <w:numPr>
          <w:ilvl w:val="0"/>
          <w:numId w:val="10"/>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t>Bệnh nhân đã được điều trị trước đó.</w:t>
      </w:r>
    </w:p>
    <w:p w:rsidR="0076758C" w:rsidRPr="00B164AE" w:rsidRDefault="0076758C" w:rsidP="00B164AE">
      <w:pPr>
        <w:pStyle w:val="ListParagraph"/>
        <w:numPr>
          <w:ilvl w:val="0"/>
          <w:numId w:val="10"/>
        </w:numPr>
        <w:spacing w:after="0" w:line="240" w:lineRule="auto"/>
        <w:jc w:val="both"/>
        <w:rPr>
          <w:rFonts w:ascii="Times New Roman" w:hAnsi="Times New Roman" w:cs="Times New Roman"/>
          <w:sz w:val="24"/>
          <w:szCs w:val="24"/>
        </w:rPr>
      </w:pPr>
      <w:r w:rsidRPr="00B164AE">
        <w:rPr>
          <w:rFonts w:ascii="Times New Roman" w:hAnsi="Times New Roman" w:cs="Times New Roman"/>
          <w:sz w:val="24"/>
          <w:szCs w:val="24"/>
        </w:rPr>
        <w:t>Bệnh nhân từ chối hợp tác hoặc không theo dõi được</w:t>
      </w:r>
    </w:p>
    <w:p w:rsidR="0076758C" w:rsidRPr="00B164AE" w:rsidRDefault="00B164AE" w:rsidP="0026374F">
      <w:pPr>
        <w:pStyle w:val="ListParagraph"/>
        <w:spacing w:after="0" w:line="240" w:lineRule="auto"/>
        <w:jc w:val="both"/>
        <w:rPr>
          <w:rFonts w:ascii="Times New Roman" w:hAnsi="Times New Roman" w:cs="Times New Roman"/>
          <w:b/>
          <w:i/>
          <w:sz w:val="24"/>
          <w:szCs w:val="24"/>
        </w:rPr>
      </w:pPr>
      <w:r w:rsidRPr="00B164AE">
        <w:rPr>
          <w:rFonts w:ascii="Times New Roman" w:hAnsi="Times New Roman" w:cs="Times New Roman"/>
          <w:b/>
          <w:i/>
          <w:sz w:val="24"/>
          <w:szCs w:val="24"/>
        </w:rPr>
        <w:t>2.</w:t>
      </w:r>
      <w:r w:rsidR="0076758C" w:rsidRPr="00B164AE">
        <w:rPr>
          <w:rFonts w:ascii="Times New Roman" w:hAnsi="Times New Roman" w:cs="Times New Roman"/>
          <w:b/>
          <w:i/>
          <w:sz w:val="24"/>
          <w:szCs w:val="24"/>
        </w:rPr>
        <w:t xml:space="preserve">2. Phương pháp </w:t>
      </w:r>
    </w:p>
    <w:p w:rsidR="0076758C" w:rsidRPr="0026374F" w:rsidRDefault="0076758C" w:rsidP="0006279A">
      <w:pPr>
        <w:pStyle w:val="ListParagraph"/>
        <w:numPr>
          <w:ilvl w:val="0"/>
          <w:numId w:val="10"/>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Thiết kế nghiên cứ</w:t>
      </w:r>
      <w:r w:rsidR="0006279A">
        <w:rPr>
          <w:rFonts w:ascii="Times New Roman" w:hAnsi="Times New Roman" w:cs="Times New Roman"/>
          <w:sz w:val="24"/>
          <w:szCs w:val="24"/>
        </w:rPr>
        <w:t>u: m</w:t>
      </w:r>
      <w:r w:rsidRPr="0026374F">
        <w:rPr>
          <w:rFonts w:ascii="Times New Roman" w:hAnsi="Times New Roman" w:cs="Times New Roman"/>
          <w:sz w:val="24"/>
          <w:szCs w:val="24"/>
        </w:rPr>
        <w:t xml:space="preserve">ô tả cắt ngang hồi cứu. </w:t>
      </w:r>
    </w:p>
    <w:p w:rsidR="0076758C" w:rsidRPr="0026374F" w:rsidRDefault="0076758C" w:rsidP="0006279A">
      <w:pPr>
        <w:pStyle w:val="ListParagraph"/>
        <w:numPr>
          <w:ilvl w:val="0"/>
          <w:numId w:val="10"/>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Thời gian địa điểm nghiên cứu</w:t>
      </w:r>
      <w:r w:rsidR="0006279A">
        <w:rPr>
          <w:rFonts w:ascii="Times New Roman" w:hAnsi="Times New Roman" w:cs="Times New Roman"/>
          <w:sz w:val="24"/>
          <w:szCs w:val="24"/>
        </w:rPr>
        <w:t>: t</w:t>
      </w:r>
      <w:r w:rsidRPr="0026374F">
        <w:rPr>
          <w:rFonts w:ascii="Times New Roman" w:hAnsi="Times New Roman" w:cs="Times New Roman"/>
          <w:sz w:val="24"/>
          <w:szCs w:val="24"/>
        </w:rPr>
        <w:t xml:space="preserve">ừ 01/2019 đến 06/2024 tại Bệnh viện K. </w:t>
      </w:r>
    </w:p>
    <w:p w:rsidR="0076758C" w:rsidRPr="0026374F" w:rsidRDefault="0076758C" w:rsidP="0006279A">
      <w:pPr>
        <w:pStyle w:val="ListParagraph"/>
        <w:numPr>
          <w:ilvl w:val="0"/>
          <w:numId w:val="10"/>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Mẫu nghiên cứu: chọn mẫu thuận tiện, lấy được 31 bệnh nhân vào nghiên cứu.</w:t>
      </w:r>
    </w:p>
    <w:p w:rsidR="0076758C" w:rsidRPr="0026374F" w:rsidRDefault="0076758C" w:rsidP="0006279A">
      <w:pPr>
        <w:pStyle w:val="ListParagraph"/>
        <w:numPr>
          <w:ilvl w:val="0"/>
          <w:numId w:val="10"/>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Nội dung/chỉ số nghiên cứu:</w:t>
      </w:r>
    </w:p>
    <w:p w:rsidR="0076758C" w:rsidRPr="0026374F" w:rsidRDefault="0076758C" w:rsidP="0006279A">
      <w:pPr>
        <w:pStyle w:val="ListParagraph"/>
        <w:numPr>
          <w:ilvl w:val="0"/>
          <w:numId w:val="12"/>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 xml:space="preserve">Bệnh nhân được ghi nhận thông tin đặc điểm lâm sàng, cận lâm sàng bao gồm: tuổi, giới, lý do vào viện, tình trạng hút thuốc, chỉ số toàn trạng, đặc điểm khối u, tình trạng di căn hạch và các vị trí di căn, loại mô bệnh học và kỹ thuật xét nghiệm gen EGFR. </w:t>
      </w:r>
    </w:p>
    <w:p w:rsidR="0076758C" w:rsidRPr="0026374F" w:rsidRDefault="0076758C" w:rsidP="0006279A">
      <w:pPr>
        <w:pStyle w:val="ListParagraph"/>
        <w:numPr>
          <w:ilvl w:val="0"/>
          <w:numId w:val="12"/>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 xml:space="preserve">Tỷ lệ đáp ứng toàn bộ là lệ phần trăm bệnh nhân có đáp ứng một phần hoặc đáp ứng hoàn toàn. Tỷ lệ kiểm soát bệnh là tỷ lệ phần trăm bệnh nhân có đáp ứng hoàn toàn hoặc đáp ứng một phần hoặc bệnh ổn định. Thời gian sống </w:t>
      </w:r>
      <w:r w:rsidR="003B11DF">
        <w:rPr>
          <w:rFonts w:ascii="Times New Roman" w:hAnsi="Times New Roman" w:cs="Times New Roman"/>
          <w:sz w:val="24"/>
          <w:szCs w:val="24"/>
        </w:rPr>
        <w:t>thêm</w:t>
      </w:r>
      <w:r w:rsidRPr="0026374F">
        <w:rPr>
          <w:rFonts w:ascii="Times New Roman" w:hAnsi="Times New Roman" w:cs="Times New Roman"/>
          <w:sz w:val="24"/>
          <w:szCs w:val="24"/>
        </w:rPr>
        <w:t xml:space="preserve"> không</w:t>
      </w:r>
      <w:r w:rsidR="003B11DF">
        <w:rPr>
          <w:rFonts w:ascii="Times New Roman" w:hAnsi="Times New Roman" w:cs="Times New Roman"/>
          <w:sz w:val="24"/>
          <w:szCs w:val="24"/>
        </w:rPr>
        <w:t xml:space="preserve"> bệnh</w:t>
      </w:r>
      <w:r w:rsidRPr="0026374F">
        <w:rPr>
          <w:rFonts w:ascii="Times New Roman" w:hAnsi="Times New Roman" w:cs="Times New Roman"/>
          <w:sz w:val="24"/>
          <w:szCs w:val="24"/>
        </w:rPr>
        <w:t xml:space="preserve"> tiến triển là khoảng thời gian từ lúc tham gia nghiên cứu đến khi bệnh tiến triển hoặc chết vì bất cứ nguyên nhân gì. Thời gian sống thêm toàn bộ là thời gian từ lúc tham gia nghiên cứu cho đến khi chết vì bất cứ nguyên nhân gì. </w:t>
      </w:r>
    </w:p>
    <w:p w:rsidR="005A4480" w:rsidRPr="0026374F" w:rsidRDefault="005A4480" w:rsidP="0006279A">
      <w:pPr>
        <w:pStyle w:val="ListParagraph"/>
        <w:numPr>
          <w:ilvl w:val="0"/>
          <w:numId w:val="12"/>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Độc tính của phác đồ: độc tính trên hệ tạo huyết, độc tính trên gan, thận, đường tiêu hóa… được đánh giá theo CTCAE phiên bản 4.0</w:t>
      </w:r>
    </w:p>
    <w:p w:rsidR="005A4480" w:rsidRPr="0026374F" w:rsidRDefault="005A4480" w:rsidP="0006279A">
      <w:pPr>
        <w:pStyle w:val="ListParagraph"/>
        <w:numPr>
          <w:ilvl w:val="0"/>
          <w:numId w:val="10"/>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Quy trình tiến hành nghiên cứu:</w:t>
      </w:r>
    </w:p>
    <w:p w:rsidR="005A4480" w:rsidRPr="0026374F" w:rsidRDefault="005A4480" w:rsidP="0006279A">
      <w:pPr>
        <w:pStyle w:val="ListParagraph"/>
        <w:numPr>
          <w:ilvl w:val="0"/>
          <w:numId w:val="13"/>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Bước 1: Lựa chọn bệnh nhân theo tiêu chuẩn nghiên cứu.</w:t>
      </w:r>
    </w:p>
    <w:p w:rsidR="005A4480" w:rsidRPr="0026374F" w:rsidRDefault="005A4480" w:rsidP="0006279A">
      <w:pPr>
        <w:pStyle w:val="ListParagraph"/>
        <w:numPr>
          <w:ilvl w:val="0"/>
          <w:numId w:val="13"/>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Bước 2: Bệnh nhân được thu thập thông tin lâm sàng, cận lâm sàng.</w:t>
      </w:r>
    </w:p>
    <w:p w:rsidR="005A4480" w:rsidRPr="0026374F" w:rsidRDefault="005A4480" w:rsidP="0006279A">
      <w:pPr>
        <w:pStyle w:val="ListParagraph"/>
        <w:numPr>
          <w:ilvl w:val="0"/>
          <w:numId w:val="13"/>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Bước  3:  Điều  trị  hóa  chất  phác  đồ: pemetrexed 500 mg/m</w:t>
      </w:r>
      <w:r w:rsidRPr="0006279A">
        <w:rPr>
          <w:rFonts w:ascii="Times New Roman" w:hAnsi="Times New Roman" w:cs="Times New Roman"/>
          <w:sz w:val="24"/>
          <w:szCs w:val="24"/>
          <w:vertAlign w:val="superscript"/>
        </w:rPr>
        <w:t>2</w:t>
      </w:r>
      <w:r w:rsidRPr="0026374F">
        <w:rPr>
          <w:rFonts w:ascii="Times New Roman" w:hAnsi="Times New Roman" w:cs="Times New Roman"/>
          <w:sz w:val="24"/>
          <w:szCs w:val="24"/>
        </w:rPr>
        <w:t xml:space="preserve"> da - carboplatin AUC 5, chu kỳ 3 tuầ</w:t>
      </w:r>
      <w:r w:rsidR="0006279A">
        <w:rPr>
          <w:rFonts w:ascii="Times New Roman" w:hAnsi="Times New Roman" w:cs="Times New Roman"/>
          <w:sz w:val="24"/>
          <w:szCs w:val="24"/>
        </w:rPr>
        <w:t xml:space="preserve">n; </w:t>
      </w:r>
      <w:r w:rsidRPr="0026374F">
        <w:rPr>
          <w:rFonts w:ascii="Times New Roman" w:hAnsi="Times New Roman" w:cs="Times New Roman"/>
          <w:sz w:val="24"/>
          <w:szCs w:val="24"/>
        </w:rPr>
        <w:t>hoặc paclitaxel 200 - 225 mg/m</w:t>
      </w:r>
      <w:r w:rsidRPr="0006279A">
        <w:rPr>
          <w:rFonts w:ascii="Times New Roman" w:hAnsi="Times New Roman" w:cs="Times New Roman"/>
          <w:sz w:val="24"/>
          <w:szCs w:val="24"/>
          <w:vertAlign w:val="superscript"/>
        </w:rPr>
        <w:t>2</w:t>
      </w:r>
      <w:r w:rsidRPr="0026374F">
        <w:rPr>
          <w:rFonts w:ascii="Times New Roman" w:hAnsi="Times New Roman" w:cs="Times New Roman"/>
          <w:sz w:val="24"/>
          <w:szCs w:val="24"/>
        </w:rPr>
        <w:t xml:space="preserve"> da</w:t>
      </w:r>
      <w:r w:rsidR="00043A74">
        <w:rPr>
          <w:rFonts w:ascii="Times New Roman" w:hAnsi="Times New Roman" w:cs="Times New Roman"/>
          <w:sz w:val="24"/>
          <w:szCs w:val="24"/>
        </w:rPr>
        <w:t xml:space="preserve"> </w:t>
      </w:r>
      <w:r w:rsidRPr="0026374F">
        <w:rPr>
          <w:rFonts w:ascii="Times New Roman" w:hAnsi="Times New Roman" w:cs="Times New Roman"/>
          <w:sz w:val="24"/>
          <w:szCs w:val="24"/>
        </w:rPr>
        <w:t>- carboplatin AUC 6, chu kỳ 3 tuần.</w:t>
      </w:r>
    </w:p>
    <w:p w:rsidR="005A4480" w:rsidRPr="0026374F" w:rsidRDefault="005A4480" w:rsidP="0006279A">
      <w:pPr>
        <w:pStyle w:val="ListParagraph"/>
        <w:numPr>
          <w:ilvl w:val="0"/>
          <w:numId w:val="13"/>
        </w:numPr>
        <w:spacing w:after="0" w:line="240" w:lineRule="auto"/>
        <w:jc w:val="both"/>
        <w:rPr>
          <w:rFonts w:ascii="Times New Roman" w:hAnsi="Times New Roman" w:cs="Times New Roman"/>
          <w:sz w:val="24"/>
          <w:szCs w:val="24"/>
        </w:rPr>
      </w:pPr>
      <w:r w:rsidRPr="0026374F">
        <w:rPr>
          <w:rFonts w:ascii="Times New Roman" w:hAnsi="Times New Roman" w:cs="Times New Roman"/>
          <w:sz w:val="24"/>
          <w:szCs w:val="24"/>
        </w:rPr>
        <w:t>Bước 4: Đánh giá kết quả điều trị: đánh giá  đáp  ứng  theo  tiêu  chuẩn  RECIST  1.1 (2009),  ước  lượng  sống  thêm  bằng  phương pháp Kaplan-Meier, đánh giá độc tính theo CTCAE phiên bản 4.0</w:t>
      </w:r>
      <w:r w:rsidR="00043A74">
        <w:rPr>
          <w:rFonts w:ascii="Times New Roman" w:hAnsi="Times New Roman" w:cs="Times New Roman"/>
          <w:sz w:val="24"/>
          <w:szCs w:val="24"/>
        </w:rPr>
        <w:t>.</w:t>
      </w:r>
    </w:p>
    <w:p w:rsidR="005A4480" w:rsidRPr="00043A74" w:rsidRDefault="005A4480" w:rsidP="00043A74">
      <w:pPr>
        <w:pStyle w:val="ListParagraph"/>
        <w:numPr>
          <w:ilvl w:val="0"/>
          <w:numId w:val="10"/>
        </w:numPr>
        <w:spacing w:after="0" w:line="240" w:lineRule="auto"/>
        <w:jc w:val="both"/>
        <w:rPr>
          <w:rFonts w:ascii="Times New Roman" w:hAnsi="Times New Roman" w:cs="Times New Roman"/>
          <w:sz w:val="24"/>
          <w:szCs w:val="24"/>
        </w:rPr>
      </w:pPr>
      <w:r w:rsidRPr="00043A74">
        <w:rPr>
          <w:rFonts w:ascii="Times New Roman" w:hAnsi="Times New Roman" w:cs="Times New Roman"/>
          <w:sz w:val="24"/>
          <w:szCs w:val="24"/>
        </w:rPr>
        <w:t>Xử lý số liệu</w:t>
      </w:r>
      <w:r w:rsidR="00043A74">
        <w:rPr>
          <w:rFonts w:ascii="Times New Roman" w:hAnsi="Times New Roman" w:cs="Times New Roman"/>
          <w:sz w:val="24"/>
          <w:szCs w:val="24"/>
        </w:rPr>
        <w:t>:</w:t>
      </w:r>
    </w:p>
    <w:p w:rsidR="005A4480" w:rsidRPr="00043A74" w:rsidRDefault="005A4480" w:rsidP="00043A74">
      <w:pPr>
        <w:spacing w:after="0" w:line="240" w:lineRule="auto"/>
        <w:ind w:firstLine="720"/>
        <w:jc w:val="both"/>
        <w:rPr>
          <w:rFonts w:ascii="Times New Roman" w:hAnsi="Times New Roman" w:cs="Times New Roman"/>
          <w:sz w:val="24"/>
          <w:szCs w:val="24"/>
        </w:rPr>
      </w:pPr>
      <w:r w:rsidRPr="00043A74">
        <w:rPr>
          <w:rFonts w:ascii="Times New Roman" w:hAnsi="Times New Roman" w:cs="Times New Roman"/>
          <w:sz w:val="24"/>
          <w:szCs w:val="24"/>
        </w:rPr>
        <w:t xml:space="preserve">Số liệu được nhập và phân tích bằng phần mềm SPSS 22.0. Thống kê mô tả: tỷ lệ phần trăm,  trung  bình,  độ  lệch  chuẩn,  ước  lượng sống thêm bằng phương pháp Kaplan-Meier. </w:t>
      </w:r>
    </w:p>
    <w:p w:rsidR="005A4480" w:rsidRPr="00043A74" w:rsidRDefault="00043A74" w:rsidP="00043A74">
      <w:pPr>
        <w:spacing w:after="0" w:line="240" w:lineRule="auto"/>
        <w:ind w:firstLine="720"/>
        <w:jc w:val="both"/>
        <w:rPr>
          <w:rFonts w:ascii="Times New Roman" w:hAnsi="Times New Roman" w:cs="Times New Roman"/>
          <w:b/>
          <w:i/>
          <w:sz w:val="24"/>
          <w:szCs w:val="24"/>
        </w:rPr>
      </w:pPr>
      <w:r w:rsidRPr="00043A74">
        <w:rPr>
          <w:rFonts w:ascii="Times New Roman" w:hAnsi="Times New Roman" w:cs="Times New Roman"/>
          <w:b/>
          <w:i/>
          <w:sz w:val="24"/>
          <w:szCs w:val="24"/>
        </w:rPr>
        <w:t xml:space="preserve">2.3. </w:t>
      </w:r>
      <w:r w:rsidR="005A4480" w:rsidRPr="00043A74">
        <w:rPr>
          <w:rFonts w:ascii="Times New Roman" w:hAnsi="Times New Roman" w:cs="Times New Roman"/>
          <w:b/>
          <w:i/>
          <w:sz w:val="24"/>
          <w:szCs w:val="24"/>
        </w:rPr>
        <w:t>Đạo đức nghiên cứu</w:t>
      </w:r>
      <w:r>
        <w:rPr>
          <w:rFonts w:ascii="Times New Roman" w:hAnsi="Times New Roman" w:cs="Times New Roman"/>
          <w:b/>
          <w:i/>
          <w:sz w:val="24"/>
          <w:szCs w:val="24"/>
        </w:rPr>
        <w:t xml:space="preserve"> </w:t>
      </w:r>
    </w:p>
    <w:p w:rsidR="005A4480" w:rsidRPr="00043A74" w:rsidRDefault="005A4480" w:rsidP="00043A74">
      <w:pPr>
        <w:spacing w:after="0" w:line="240" w:lineRule="auto"/>
        <w:ind w:firstLine="720"/>
        <w:jc w:val="both"/>
        <w:rPr>
          <w:rFonts w:ascii="Times New Roman" w:hAnsi="Times New Roman" w:cs="Times New Roman"/>
          <w:sz w:val="24"/>
          <w:szCs w:val="24"/>
        </w:rPr>
      </w:pPr>
      <w:r w:rsidRPr="00043A74">
        <w:rPr>
          <w:rFonts w:ascii="Times New Roman" w:hAnsi="Times New Roman" w:cs="Times New Roman"/>
          <w:sz w:val="24"/>
          <w:szCs w:val="24"/>
        </w:rPr>
        <w:lastRenderedPageBreak/>
        <w:t>Tất  cả  bệnh  nhân  trong  nghiên  cứu  đều hoàn toàn tự nguyện tham gia. Nghiên cứu chỉ nhằm mục đích nâng cao chất lượng điều trị, không nhằm mục đích nào khác. Những BN có đủ tiêu chuẩn lựa chọn sẽ được giải thích đầy đủ, rõ ràng về các lựa chọn điều trị tiếp theo, về qui trình điều trị, các ưu, nhược điểm của từng phương pháp điều trị, các rủi ro có thể xảy ra. Tất  cả  các  thông  tin  chi  tiết  về  tình  trạng bệnh tật, các thông tin cá nhân của người bệnh được bảo mật.</w:t>
      </w:r>
    </w:p>
    <w:p w:rsidR="005A4480" w:rsidRPr="00043A74" w:rsidRDefault="00043A74" w:rsidP="00043A74">
      <w:pPr>
        <w:spacing w:after="0" w:line="240" w:lineRule="auto"/>
        <w:jc w:val="both"/>
        <w:rPr>
          <w:rFonts w:ascii="Times New Roman" w:hAnsi="Times New Roman" w:cs="Times New Roman"/>
          <w:b/>
          <w:sz w:val="24"/>
          <w:szCs w:val="24"/>
          <w:shd w:val="clear" w:color="auto" w:fill="FFFFFF"/>
        </w:rPr>
      </w:pPr>
      <w:r w:rsidRPr="00043A74">
        <w:rPr>
          <w:rFonts w:ascii="Times New Roman" w:hAnsi="Times New Roman" w:cs="Times New Roman"/>
          <w:b/>
          <w:sz w:val="24"/>
          <w:szCs w:val="24"/>
          <w:shd w:val="clear" w:color="auto" w:fill="FFFFFF"/>
        </w:rPr>
        <w:t>III. KẾT QUẢ</w:t>
      </w:r>
    </w:p>
    <w:p w:rsidR="005A4480" w:rsidRPr="00043A74" w:rsidRDefault="00043A74" w:rsidP="00043A74">
      <w:pPr>
        <w:spacing w:after="0" w:line="240" w:lineRule="auto"/>
        <w:ind w:firstLine="720"/>
        <w:jc w:val="both"/>
        <w:rPr>
          <w:rFonts w:ascii="Times New Roman" w:hAnsi="Times New Roman" w:cs="Times New Roman"/>
          <w:b/>
          <w:i/>
          <w:sz w:val="24"/>
          <w:szCs w:val="24"/>
          <w:shd w:val="clear" w:color="auto" w:fill="FFFFFF"/>
        </w:rPr>
      </w:pPr>
      <w:r w:rsidRPr="00043A74">
        <w:rPr>
          <w:rFonts w:ascii="Times New Roman" w:hAnsi="Times New Roman" w:cs="Times New Roman"/>
          <w:b/>
          <w:i/>
          <w:sz w:val="24"/>
          <w:szCs w:val="24"/>
          <w:shd w:val="clear" w:color="auto" w:fill="FFFFFF"/>
        </w:rPr>
        <w:t xml:space="preserve">3.1. </w:t>
      </w:r>
      <w:r w:rsidR="007F7C95" w:rsidRPr="00043A74">
        <w:rPr>
          <w:rFonts w:ascii="Times New Roman" w:hAnsi="Times New Roman" w:cs="Times New Roman"/>
          <w:b/>
          <w:i/>
          <w:sz w:val="24"/>
          <w:szCs w:val="24"/>
          <w:shd w:val="clear" w:color="auto" w:fill="FFFFFF"/>
        </w:rPr>
        <w:t>Đặc điểm lâm sàng nhóm bệnh nhân nghiên cứu</w:t>
      </w:r>
    </w:p>
    <w:p w:rsidR="004E2480" w:rsidRPr="004E2480" w:rsidRDefault="007F7C95" w:rsidP="004E2480">
      <w:pPr>
        <w:pStyle w:val="ListParagraph"/>
        <w:spacing w:after="0" w:line="240" w:lineRule="auto"/>
        <w:jc w:val="center"/>
        <w:rPr>
          <w:rFonts w:ascii="Times New Roman" w:hAnsi="Times New Roman" w:cs="Times New Roman"/>
          <w:b/>
          <w:i/>
          <w:sz w:val="24"/>
          <w:szCs w:val="24"/>
          <w:shd w:val="clear" w:color="auto" w:fill="FFFFFF"/>
        </w:rPr>
      </w:pPr>
      <w:r w:rsidRPr="004E2480">
        <w:rPr>
          <w:rFonts w:ascii="Times New Roman" w:hAnsi="Times New Roman" w:cs="Times New Roman"/>
          <w:b/>
          <w:i/>
          <w:sz w:val="24"/>
          <w:szCs w:val="24"/>
          <w:shd w:val="clear" w:color="auto" w:fill="FFFFFF"/>
        </w:rPr>
        <w:t>Bảng 1: Đặc điểm nhóm bệnh nhân nghiên cứu</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2610"/>
        <w:gridCol w:w="2823"/>
      </w:tblGrid>
      <w:tr w:rsidR="00A018FC" w:rsidRPr="0026374F" w:rsidTr="002A2118">
        <w:tc>
          <w:tcPr>
            <w:tcW w:w="3923" w:type="dxa"/>
            <w:tcBorders>
              <w:top w:val="single" w:sz="4" w:space="0" w:color="auto"/>
              <w:bottom w:val="single" w:sz="4" w:space="0" w:color="auto"/>
            </w:tcBorders>
            <w:shd w:val="clear" w:color="auto" w:fill="D9D9D9" w:themeFill="background1" w:themeFillShade="D9"/>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Đặc điểm</w:t>
            </w:r>
          </w:p>
        </w:tc>
        <w:tc>
          <w:tcPr>
            <w:tcW w:w="2610" w:type="dxa"/>
            <w:tcBorders>
              <w:top w:val="single" w:sz="4" w:space="0" w:color="auto"/>
              <w:bottom w:val="single" w:sz="4" w:space="0" w:color="auto"/>
            </w:tcBorders>
            <w:shd w:val="clear" w:color="auto" w:fill="D9D9D9" w:themeFill="background1" w:themeFillShade="D9"/>
          </w:tcPr>
          <w:p w:rsidR="00A018FC" w:rsidRPr="004E2480" w:rsidRDefault="00A018FC" w:rsidP="004E2480">
            <w:pPr>
              <w:pStyle w:val="ListParagraph"/>
              <w:ind w:left="0"/>
              <w:jc w:val="center"/>
              <w:rPr>
                <w:rFonts w:ascii="Times New Roman" w:hAnsi="Times New Roman" w:cs="Times New Roman"/>
                <w:b/>
              </w:rPr>
            </w:pPr>
            <w:r w:rsidRPr="004E2480">
              <w:rPr>
                <w:rFonts w:ascii="Times New Roman" w:hAnsi="Times New Roman" w:cs="Times New Roman"/>
                <w:b/>
              </w:rPr>
              <w:t>Số bệnh nhân (n)</w:t>
            </w:r>
          </w:p>
        </w:tc>
        <w:tc>
          <w:tcPr>
            <w:tcW w:w="2823" w:type="dxa"/>
            <w:tcBorders>
              <w:top w:val="single" w:sz="4" w:space="0" w:color="auto"/>
              <w:bottom w:val="single" w:sz="4" w:space="0" w:color="auto"/>
            </w:tcBorders>
            <w:shd w:val="clear" w:color="auto" w:fill="D9D9D9" w:themeFill="background1" w:themeFillShade="D9"/>
          </w:tcPr>
          <w:p w:rsidR="00A018FC" w:rsidRPr="004E2480" w:rsidRDefault="00A018FC" w:rsidP="004E2480">
            <w:pPr>
              <w:pStyle w:val="ListParagraph"/>
              <w:ind w:left="0"/>
              <w:jc w:val="center"/>
              <w:rPr>
                <w:rFonts w:ascii="Times New Roman" w:hAnsi="Times New Roman" w:cs="Times New Roman"/>
                <w:b/>
              </w:rPr>
            </w:pPr>
            <w:r w:rsidRPr="004E2480">
              <w:rPr>
                <w:rFonts w:ascii="Times New Roman" w:hAnsi="Times New Roman" w:cs="Times New Roman"/>
                <w:b/>
              </w:rPr>
              <w:t>Tỷ lệ (%)</w:t>
            </w:r>
          </w:p>
        </w:tc>
      </w:tr>
      <w:tr w:rsidR="00A018FC" w:rsidRPr="0026374F" w:rsidTr="004E2480">
        <w:tc>
          <w:tcPr>
            <w:tcW w:w="3923" w:type="dxa"/>
            <w:tcBorders>
              <w:top w:val="single" w:sz="4" w:space="0" w:color="auto"/>
            </w:tcBorders>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 xml:space="preserve">Tuổi </w:t>
            </w:r>
          </w:p>
        </w:tc>
        <w:tc>
          <w:tcPr>
            <w:tcW w:w="2610"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c>
          <w:tcPr>
            <w:tcW w:w="282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r>
      <w:tr w:rsidR="004E2480" w:rsidRPr="0026374F" w:rsidTr="004E2480">
        <w:tc>
          <w:tcPr>
            <w:tcW w:w="3923" w:type="dxa"/>
          </w:tcPr>
          <w:p w:rsidR="004E2480" w:rsidRPr="004E2480" w:rsidRDefault="004E2480" w:rsidP="0026374F">
            <w:pPr>
              <w:pStyle w:val="ListParagraph"/>
              <w:ind w:left="0"/>
              <w:jc w:val="both"/>
              <w:rPr>
                <w:rFonts w:ascii="Times New Roman" w:hAnsi="Times New Roman" w:cs="Times New Roman"/>
                <w:b/>
              </w:rPr>
            </w:pPr>
            <w:r w:rsidRPr="004E2480">
              <w:rPr>
                <w:rFonts w:ascii="Times New Roman" w:hAnsi="Times New Roman" w:cs="Times New Roman"/>
              </w:rPr>
              <w:t xml:space="preserve">Tuổi trung bình: 59,61 </w:t>
            </w:r>
          </w:p>
        </w:tc>
        <w:tc>
          <w:tcPr>
            <w:tcW w:w="2610" w:type="dxa"/>
          </w:tcPr>
          <w:p w:rsidR="004E2480" w:rsidRPr="004E2480" w:rsidRDefault="004E2480" w:rsidP="004E2480">
            <w:pPr>
              <w:pStyle w:val="ListParagraph"/>
              <w:ind w:left="0"/>
              <w:jc w:val="center"/>
              <w:rPr>
                <w:rFonts w:ascii="Times New Roman" w:hAnsi="Times New Roman" w:cs="Times New Roman"/>
              </w:rPr>
            </w:pPr>
          </w:p>
        </w:tc>
        <w:tc>
          <w:tcPr>
            <w:tcW w:w="2823" w:type="dxa"/>
          </w:tcPr>
          <w:p w:rsidR="004E2480" w:rsidRPr="004E2480" w:rsidRDefault="004E2480" w:rsidP="004E2480">
            <w:pPr>
              <w:pStyle w:val="ListParagraph"/>
              <w:ind w:left="0"/>
              <w:jc w:val="center"/>
              <w:rPr>
                <w:rFonts w:ascii="Times New Roman" w:hAnsi="Times New Roman" w:cs="Times New Roman"/>
              </w:rPr>
            </w:pP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&gt; 65 tuổi</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12</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33,3</w:t>
            </w:r>
          </w:p>
        </w:tc>
      </w:tr>
      <w:tr w:rsidR="00A018FC" w:rsidRPr="0026374F" w:rsidTr="004E2480">
        <w:tc>
          <w:tcPr>
            <w:tcW w:w="3923" w:type="dxa"/>
            <w:tcBorders>
              <w:bottom w:val="single" w:sz="4" w:space="0" w:color="auto"/>
            </w:tcBorders>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 65 tuổi</w:t>
            </w:r>
          </w:p>
        </w:tc>
        <w:tc>
          <w:tcPr>
            <w:tcW w:w="2610"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24</w:t>
            </w:r>
          </w:p>
        </w:tc>
        <w:tc>
          <w:tcPr>
            <w:tcW w:w="2823"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66,7</w:t>
            </w:r>
          </w:p>
        </w:tc>
      </w:tr>
      <w:tr w:rsidR="00A018FC" w:rsidRPr="0026374F" w:rsidTr="004E2480">
        <w:tc>
          <w:tcPr>
            <w:tcW w:w="3923" w:type="dxa"/>
            <w:tcBorders>
              <w:top w:val="single" w:sz="4" w:space="0" w:color="auto"/>
            </w:tcBorders>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Giới</w:t>
            </w:r>
          </w:p>
        </w:tc>
        <w:tc>
          <w:tcPr>
            <w:tcW w:w="2610"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c>
          <w:tcPr>
            <w:tcW w:w="282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Nam</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28</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77,8</w:t>
            </w:r>
          </w:p>
        </w:tc>
      </w:tr>
      <w:tr w:rsidR="00A018FC" w:rsidRPr="0026374F" w:rsidTr="004E2480">
        <w:tc>
          <w:tcPr>
            <w:tcW w:w="3923" w:type="dxa"/>
            <w:tcBorders>
              <w:bottom w:val="single" w:sz="4" w:space="0" w:color="auto"/>
            </w:tcBorders>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Nữ</w:t>
            </w:r>
          </w:p>
        </w:tc>
        <w:tc>
          <w:tcPr>
            <w:tcW w:w="2610"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8</w:t>
            </w:r>
          </w:p>
        </w:tc>
        <w:tc>
          <w:tcPr>
            <w:tcW w:w="2823"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22,2</w:t>
            </w:r>
          </w:p>
        </w:tc>
      </w:tr>
      <w:tr w:rsidR="00A018FC" w:rsidRPr="0026374F" w:rsidTr="004E2480">
        <w:tc>
          <w:tcPr>
            <w:tcW w:w="3923" w:type="dxa"/>
            <w:tcBorders>
              <w:top w:val="single" w:sz="4" w:space="0" w:color="auto"/>
            </w:tcBorders>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Hút thuốc</w:t>
            </w:r>
          </w:p>
        </w:tc>
        <w:tc>
          <w:tcPr>
            <w:tcW w:w="2610"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c>
          <w:tcPr>
            <w:tcW w:w="282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Không hút thuốc</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10</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27,8</w:t>
            </w:r>
          </w:p>
        </w:tc>
      </w:tr>
      <w:tr w:rsidR="00A018FC" w:rsidRPr="0026374F" w:rsidTr="004E2480">
        <w:tc>
          <w:tcPr>
            <w:tcW w:w="3923" w:type="dxa"/>
            <w:tcBorders>
              <w:bottom w:val="single" w:sz="4" w:space="0" w:color="auto"/>
            </w:tcBorders>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Có hút thuốc</w:t>
            </w:r>
          </w:p>
        </w:tc>
        <w:tc>
          <w:tcPr>
            <w:tcW w:w="2610"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26</w:t>
            </w:r>
          </w:p>
        </w:tc>
        <w:tc>
          <w:tcPr>
            <w:tcW w:w="2823"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72,2</w:t>
            </w:r>
          </w:p>
        </w:tc>
      </w:tr>
      <w:tr w:rsidR="00A018FC" w:rsidRPr="0026374F" w:rsidTr="004E2480">
        <w:tc>
          <w:tcPr>
            <w:tcW w:w="3923" w:type="dxa"/>
            <w:tcBorders>
              <w:top w:val="single" w:sz="4" w:space="0" w:color="auto"/>
            </w:tcBorders>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ECOG</w:t>
            </w:r>
          </w:p>
        </w:tc>
        <w:tc>
          <w:tcPr>
            <w:tcW w:w="2610"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c>
          <w:tcPr>
            <w:tcW w:w="282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0</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19</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52,8</w:t>
            </w:r>
          </w:p>
        </w:tc>
      </w:tr>
      <w:tr w:rsidR="00A018FC" w:rsidRPr="0026374F" w:rsidTr="004E2480">
        <w:tc>
          <w:tcPr>
            <w:tcW w:w="3923" w:type="dxa"/>
            <w:tcBorders>
              <w:bottom w:val="single" w:sz="4" w:space="0" w:color="auto"/>
            </w:tcBorders>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1</w:t>
            </w:r>
          </w:p>
        </w:tc>
        <w:tc>
          <w:tcPr>
            <w:tcW w:w="2610"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17</w:t>
            </w:r>
          </w:p>
        </w:tc>
        <w:tc>
          <w:tcPr>
            <w:tcW w:w="2823"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47,2</w:t>
            </w:r>
          </w:p>
        </w:tc>
      </w:tr>
      <w:tr w:rsidR="00A018FC" w:rsidRPr="0026374F" w:rsidTr="004E2480">
        <w:tc>
          <w:tcPr>
            <w:tcW w:w="3923" w:type="dxa"/>
            <w:tcBorders>
              <w:top w:val="single" w:sz="4" w:space="0" w:color="auto"/>
            </w:tcBorders>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Mô  bệnh học</w:t>
            </w:r>
          </w:p>
        </w:tc>
        <w:tc>
          <w:tcPr>
            <w:tcW w:w="2610"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c>
          <w:tcPr>
            <w:tcW w:w="282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UTMB tuyến</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33</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91,7</w:t>
            </w:r>
          </w:p>
        </w:tc>
      </w:tr>
      <w:tr w:rsidR="00A018FC" w:rsidRPr="0026374F" w:rsidTr="004E2480">
        <w:tc>
          <w:tcPr>
            <w:tcW w:w="3923" w:type="dxa"/>
            <w:tcBorders>
              <w:bottom w:val="single" w:sz="4" w:space="0" w:color="auto"/>
            </w:tcBorders>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UTBM không tế bào nhỏ, NOS</w:t>
            </w:r>
          </w:p>
        </w:tc>
        <w:tc>
          <w:tcPr>
            <w:tcW w:w="2610"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3</w:t>
            </w:r>
          </w:p>
        </w:tc>
        <w:tc>
          <w:tcPr>
            <w:tcW w:w="2823"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8,3</w:t>
            </w:r>
          </w:p>
        </w:tc>
      </w:tr>
      <w:tr w:rsidR="00A018FC" w:rsidRPr="0026374F" w:rsidTr="004E2480">
        <w:tc>
          <w:tcPr>
            <w:tcW w:w="3923" w:type="dxa"/>
            <w:tcBorders>
              <w:top w:val="single" w:sz="4" w:space="0" w:color="auto"/>
            </w:tcBorders>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Kỹ thuật xét nghiệm</w:t>
            </w:r>
          </w:p>
        </w:tc>
        <w:tc>
          <w:tcPr>
            <w:tcW w:w="2610"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c>
          <w:tcPr>
            <w:tcW w:w="282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PCR</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13</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36,1</w:t>
            </w:r>
          </w:p>
        </w:tc>
      </w:tr>
      <w:tr w:rsidR="00A018FC" w:rsidRPr="0026374F" w:rsidTr="004E2480">
        <w:tc>
          <w:tcPr>
            <w:tcW w:w="3923" w:type="dxa"/>
            <w:tcBorders>
              <w:bottom w:val="single" w:sz="4" w:space="0" w:color="auto"/>
            </w:tcBorders>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NGS</w:t>
            </w:r>
          </w:p>
        </w:tc>
        <w:tc>
          <w:tcPr>
            <w:tcW w:w="2610"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23</w:t>
            </w:r>
          </w:p>
        </w:tc>
        <w:tc>
          <w:tcPr>
            <w:tcW w:w="2823"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63,9</w:t>
            </w:r>
          </w:p>
        </w:tc>
      </w:tr>
      <w:tr w:rsidR="00A018FC" w:rsidRPr="0026374F" w:rsidTr="004E2480">
        <w:tc>
          <w:tcPr>
            <w:tcW w:w="3923" w:type="dxa"/>
            <w:tcBorders>
              <w:top w:val="single" w:sz="4" w:space="0" w:color="auto"/>
            </w:tcBorders>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Vị trí di căn</w:t>
            </w:r>
          </w:p>
        </w:tc>
        <w:tc>
          <w:tcPr>
            <w:tcW w:w="2610"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c>
          <w:tcPr>
            <w:tcW w:w="282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 xml:space="preserve">Não </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13</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36,1</w:t>
            </w: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Phổi</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8</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22,2</w:t>
            </w: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Màng phổi</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12</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33,3</w:t>
            </w: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Gan</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3</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8,3</w:t>
            </w: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Xương</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18</w:t>
            </w:r>
          </w:p>
        </w:tc>
        <w:tc>
          <w:tcPr>
            <w:tcW w:w="2823" w:type="dxa"/>
          </w:tcPr>
          <w:p w:rsidR="00A018FC" w:rsidRPr="004E2480" w:rsidRDefault="004E2480" w:rsidP="004E2480">
            <w:pPr>
              <w:pStyle w:val="ListParagraph"/>
              <w:ind w:left="0"/>
              <w:jc w:val="center"/>
              <w:rPr>
                <w:rFonts w:ascii="Times New Roman" w:hAnsi="Times New Roman" w:cs="Times New Roman"/>
              </w:rPr>
            </w:pPr>
            <w:r w:rsidRPr="004E2480">
              <w:rPr>
                <w:rFonts w:ascii="Times New Roman" w:hAnsi="Times New Roman" w:cs="Times New Roman"/>
              </w:rPr>
              <w:t>50</w:t>
            </w:r>
          </w:p>
        </w:tc>
      </w:tr>
      <w:tr w:rsidR="00A018FC" w:rsidRPr="0026374F" w:rsidTr="004E2480">
        <w:tc>
          <w:tcPr>
            <w:tcW w:w="3923" w:type="dxa"/>
            <w:tcBorders>
              <w:bottom w:val="single" w:sz="4" w:space="0" w:color="auto"/>
            </w:tcBorders>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Thượng thận</w:t>
            </w:r>
          </w:p>
        </w:tc>
        <w:tc>
          <w:tcPr>
            <w:tcW w:w="2610"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6</w:t>
            </w:r>
          </w:p>
        </w:tc>
        <w:tc>
          <w:tcPr>
            <w:tcW w:w="2823"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16,7</w:t>
            </w:r>
          </w:p>
        </w:tc>
      </w:tr>
      <w:tr w:rsidR="00A018FC" w:rsidRPr="0026374F" w:rsidTr="004E2480">
        <w:tc>
          <w:tcPr>
            <w:tcW w:w="3923" w:type="dxa"/>
            <w:tcBorders>
              <w:top w:val="single" w:sz="4" w:space="0" w:color="auto"/>
            </w:tcBorders>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Hóa chất</w:t>
            </w:r>
          </w:p>
        </w:tc>
        <w:tc>
          <w:tcPr>
            <w:tcW w:w="2610"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c>
          <w:tcPr>
            <w:tcW w:w="282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Pemetrexed</w:t>
            </w:r>
            <w:r w:rsidR="004E2480" w:rsidRPr="004E2480">
              <w:rPr>
                <w:rFonts w:ascii="Times New Roman" w:hAnsi="Times New Roman" w:cs="Times New Roman"/>
              </w:rPr>
              <w:t xml:space="preserve"> </w:t>
            </w:r>
            <w:r w:rsidRPr="004E2480">
              <w:rPr>
                <w:rFonts w:ascii="Times New Roman" w:hAnsi="Times New Roman" w:cs="Times New Roman"/>
              </w:rPr>
              <w:t>-</w:t>
            </w:r>
            <w:r w:rsidR="004E2480" w:rsidRPr="004E2480">
              <w:rPr>
                <w:rFonts w:ascii="Times New Roman" w:hAnsi="Times New Roman" w:cs="Times New Roman"/>
              </w:rPr>
              <w:t xml:space="preserve"> </w:t>
            </w:r>
            <w:r w:rsidRPr="004E2480">
              <w:rPr>
                <w:rFonts w:ascii="Times New Roman" w:hAnsi="Times New Roman" w:cs="Times New Roman"/>
              </w:rPr>
              <w:t>carboplatin</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19</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52,8</w:t>
            </w:r>
          </w:p>
        </w:tc>
      </w:tr>
      <w:tr w:rsidR="00A018FC" w:rsidRPr="0026374F" w:rsidTr="004E2480">
        <w:tc>
          <w:tcPr>
            <w:tcW w:w="3923" w:type="dxa"/>
            <w:tcBorders>
              <w:bottom w:val="single" w:sz="4" w:space="0" w:color="auto"/>
            </w:tcBorders>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Paclitaxel</w:t>
            </w:r>
            <w:r w:rsidR="004E2480" w:rsidRPr="004E2480">
              <w:rPr>
                <w:rFonts w:ascii="Times New Roman" w:hAnsi="Times New Roman" w:cs="Times New Roman"/>
              </w:rPr>
              <w:t xml:space="preserve"> </w:t>
            </w:r>
            <w:r w:rsidRPr="004E2480">
              <w:rPr>
                <w:rFonts w:ascii="Times New Roman" w:hAnsi="Times New Roman" w:cs="Times New Roman"/>
              </w:rPr>
              <w:t>-</w:t>
            </w:r>
            <w:r w:rsidR="004E2480" w:rsidRPr="004E2480">
              <w:rPr>
                <w:rFonts w:ascii="Times New Roman" w:hAnsi="Times New Roman" w:cs="Times New Roman"/>
              </w:rPr>
              <w:t xml:space="preserve"> </w:t>
            </w:r>
            <w:r w:rsidRPr="004E2480">
              <w:rPr>
                <w:rFonts w:ascii="Times New Roman" w:hAnsi="Times New Roman" w:cs="Times New Roman"/>
              </w:rPr>
              <w:t>carboplatin</w:t>
            </w:r>
          </w:p>
        </w:tc>
        <w:tc>
          <w:tcPr>
            <w:tcW w:w="2610"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17</w:t>
            </w:r>
          </w:p>
        </w:tc>
        <w:tc>
          <w:tcPr>
            <w:tcW w:w="2823"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47,2</w:t>
            </w:r>
          </w:p>
        </w:tc>
      </w:tr>
      <w:tr w:rsidR="00A018FC" w:rsidRPr="0026374F" w:rsidTr="004E2480">
        <w:tc>
          <w:tcPr>
            <w:tcW w:w="3923" w:type="dxa"/>
            <w:tcBorders>
              <w:top w:val="single" w:sz="4" w:space="0" w:color="auto"/>
            </w:tcBorders>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Số</w:t>
            </w:r>
            <w:r w:rsidR="004E2480" w:rsidRPr="004E2480">
              <w:rPr>
                <w:rFonts w:ascii="Times New Roman" w:hAnsi="Times New Roman" w:cs="Times New Roman"/>
                <w:b/>
              </w:rPr>
              <w:t xml:space="preserve"> chu kỳ</w:t>
            </w:r>
            <w:r w:rsidRPr="004E2480">
              <w:rPr>
                <w:rFonts w:ascii="Times New Roman" w:hAnsi="Times New Roman" w:cs="Times New Roman"/>
                <w:b/>
              </w:rPr>
              <w:t xml:space="preserve"> điều trị hóa chất</w:t>
            </w:r>
          </w:p>
        </w:tc>
        <w:tc>
          <w:tcPr>
            <w:tcW w:w="2610"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c>
          <w:tcPr>
            <w:tcW w:w="282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p>
        </w:tc>
      </w:tr>
      <w:tr w:rsidR="00A018FC" w:rsidRPr="0026374F" w:rsidTr="004E2480">
        <w:tc>
          <w:tcPr>
            <w:tcW w:w="3923" w:type="dxa"/>
          </w:tcPr>
          <w:p w:rsidR="00A018FC" w:rsidRPr="004E2480" w:rsidRDefault="00A018FC" w:rsidP="004E2480">
            <w:pPr>
              <w:pStyle w:val="ListParagraph"/>
              <w:jc w:val="both"/>
              <w:rPr>
                <w:rFonts w:ascii="Times New Roman" w:hAnsi="Times New Roman" w:cs="Times New Roman"/>
              </w:rPr>
            </w:pPr>
            <w:r w:rsidRPr="004E2480">
              <w:rPr>
                <w:rFonts w:ascii="Times New Roman" w:hAnsi="Times New Roman" w:cs="Times New Roman"/>
              </w:rPr>
              <w:t>2 chu kỳ</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6</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16,7</w:t>
            </w:r>
          </w:p>
        </w:tc>
      </w:tr>
      <w:tr w:rsidR="00A018FC" w:rsidRPr="0026374F" w:rsidTr="004E2480">
        <w:tc>
          <w:tcPr>
            <w:tcW w:w="3923" w:type="dxa"/>
          </w:tcPr>
          <w:p w:rsidR="00A018FC" w:rsidRPr="004E2480" w:rsidRDefault="00A018FC" w:rsidP="004E2480">
            <w:pPr>
              <w:ind w:left="720"/>
              <w:jc w:val="both"/>
              <w:rPr>
                <w:rFonts w:ascii="Times New Roman" w:hAnsi="Times New Roman" w:cs="Times New Roman"/>
              </w:rPr>
            </w:pPr>
            <w:r w:rsidRPr="004E2480">
              <w:rPr>
                <w:rFonts w:ascii="Times New Roman" w:hAnsi="Times New Roman" w:cs="Times New Roman"/>
              </w:rPr>
              <w:t>3 chu kỳ</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5</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13,9</w:t>
            </w:r>
          </w:p>
        </w:tc>
      </w:tr>
      <w:tr w:rsidR="00A018FC" w:rsidRPr="0026374F" w:rsidTr="004E2480">
        <w:tc>
          <w:tcPr>
            <w:tcW w:w="3923" w:type="dxa"/>
          </w:tcPr>
          <w:p w:rsidR="00A018FC" w:rsidRPr="004E2480" w:rsidRDefault="00A018FC" w:rsidP="004E2480">
            <w:pPr>
              <w:ind w:left="720"/>
              <w:jc w:val="both"/>
              <w:rPr>
                <w:rFonts w:ascii="Times New Roman" w:hAnsi="Times New Roman" w:cs="Times New Roman"/>
              </w:rPr>
            </w:pPr>
            <w:r w:rsidRPr="004E2480">
              <w:rPr>
                <w:rFonts w:ascii="Times New Roman" w:hAnsi="Times New Roman" w:cs="Times New Roman"/>
              </w:rPr>
              <w:t>4 chu kỳ</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10</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27,8</w:t>
            </w:r>
          </w:p>
        </w:tc>
      </w:tr>
      <w:tr w:rsidR="00A018FC" w:rsidRPr="0026374F" w:rsidTr="004E2480">
        <w:tc>
          <w:tcPr>
            <w:tcW w:w="3923" w:type="dxa"/>
          </w:tcPr>
          <w:p w:rsidR="00A018FC" w:rsidRPr="004E2480" w:rsidRDefault="00A018FC" w:rsidP="004E2480">
            <w:pPr>
              <w:ind w:left="720"/>
              <w:jc w:val="both"/>
              <w:rPr>
                <w:rFonts w:ascii="Times New Roman" w:hAnsi="Times New Roman" w:cs="Times New Roman"/>
              </w:rPr>
            </w:pPr>
            <w:r w:rsidRPr="004E2480">
              <w:rPr>
                <w:rFonts w:ascii="Times New Roman" w:hAnsi="Times New Roman" w:cs="Times New Roman"/>
              </w:rPr>
              <w:t>5 chu kỳ</w:t>
            </w:r>
          </w:p>
        </w:tc>
        <w:tc>
          <w:tcPr>
            <w:tcW w:w="2610"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4</w:t>
            </w:r>
          </w:p>
        </w:tc>
        <w:tc>
          <w:tcPr>
            <w:tcW w:w="282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11,1</w:t>
            </w:r>
          </w:p>
        </w:tc>
      </w:tr>
      <w:tr w:rsidR="00A018FC" w:rsidRPr="0026374F" w:rsidTr="004E2480">
        <w:tc>
          <w:tcPr>
            <w:tcW w:w="3923" w:type="dxa"/>
            <w:tcBorders>
              <w:bottom w:val="single" w:sz="4" w:space="0" w:color="auto"/>
            </w:tcBorders>
          </w:tcPr>
          <w:p w:rsidR="00A018FC" w:rsidRPr="004E2480" w:rsidRDefault="00A018FC" w:rsidP="004E2480">
            <w:pPr>
              <w:ind w:left="720"/>
              <w:jc w:val="both"/>
              <w:rPr>
                <w:rFonts w:ascii="Times New Roman" w:hAnsi="Times New Roman" w:cs="Times New Roman"/>
              </w:rPr>
            </w:pPr>
            <w:r w:rsidRPr="004E2480">
              <w:rPr>
                <w:rFonts w:ascii="Times New Roman" w:hAnsi="Times New Roman" w:cs="Times New Roman"/>
              </w:rPr>
              <w:t>6 chu kỳ</w:t>
            </w:r>
          </w:p>
        </w:tc>
        <w:tc>
          <w:tcPr>
            <w:tcW w:w="2610"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11</w:t>
            </w:r>
          </w:p>
        </w:tc>
        <w:tc>
          <w:tcPr>
            <w:tcW w:w="2823" w:type="dxa"/>
            <w:tcBorders>
              <w:bottom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30,6</w:t>
            </w:r>
          </w:p>
        </w:tc>
      </w:tr>
    </w:tbl>
    <w:p w:rsidR="004E2480" w:rsidRDefault="008203AC" w:rsidP="004E2480">
      <w:pPr>
        <w:spacing w:after="0" w:line="240" w:lineRule="auto"/>
        <w:jc w:val="both"/>
        <w:rPr>
          <w:rFonts w:ascii="Times New Roman" w:hAnsi="Times New Roman" w:cs="Times New Roman"/>
          <w:sz w:val="24"/>
          <w:szCs w:val="24"/>
        </w:rPr>
      </w:pPr>
      <w:r w:rsidRPr="004E2480">
        <w:rPr>
          <w:rFonts w:ascii="Times New Roman" w:hAnsi="Times New Roman" w:cs="Times New Roman"/>
          <w:i/>
          <w:sz w:val="24"/>
          <w:szCs w:val="24"/>
        </w:rPr>
        <w:t>Nhận xét:</w:t>
      </w:r>
      <w:r w:rsidRPr="004E2480">
        <w:rPr>
          <w:rFonts w:ascii="Times New Roman" w:hAnsi="Times New Roman" w:cs="Times New Roman"/>
          <w:sz w:val="24"/>
          <w:szCs w:val="24"/>
        </w:rPr>
        <w:t xml:space="preserve"> </w:t>
      </w:r>
      <w:r w:rsidR="00A018FC" w:rsidRPr="004E2480">
        <w:rPr>
          <w:rFonts w:ascii="Times New Roman" w:hAnsi="Times New Roman" w:cs="Times New Roman"/>
          <w:sz w:val="24"/>
          <w:szCs w:val="24"/>
        </w:rPr>
        <w:t>Tuổi trung bình nhóm bệnh nhân nghiên cứ</w:t>
      </w:r>
      <w:r w:rsidR="004E2480">
        <w:rPr>
          <w:rFonts w:ascii="Times New Roman" w:hAnsi="Times New Roman" w:cs="Times New Roman"/>
          <w:sz w:val="24"/>
          <w:szCs w:val="24"/>
        </w:rPr>
        <w:t xml:space="preserve">u là 59,61; </w:t>
      </w:r>
      <w:r w:rsidR="00A018FC" w:rsidRPr="004E2480">
        <w:rPr>
          <w:rFonts w:ascii="Times New Roman" w:hAnsi="Times New Roman" w:cs="Times New Roman"/>
          <w:sz w:val="24"/>
          <w:szCs w:val="24"/>
        </w:rPr>
        <w:t xml:space="preserve">tỷ lệ nam/nữ là 3,5/1. Phần lớn bệnh nhân có hút thuốc chiếm 72,2%. </w:t>
      </w:r>
      <w:r w:rsidR="00A018FC" w:rsidRPr="00853902">
        <w:rPr>
          <w:rFonts w:ascii="Times New Roman" w:hAnsi="Times New Roman" w:cs="Times New Roman"/>
          <w:sz w:val="24"/>
          <w:szCs w:val="24"/>
        </w:rPr>
        <w:t>Chỉ số toàn trạng bằ</w:t>
      </w:r>
      <w:r w:rsidR="00853902" w:rsidRPr="00853902">
        <w:rPr>
          <w:rFonts w:ascii="Times New Roman" w:hAnsi="Times New Roman" w:cs="Times New Roman"/>
          <w:sz w:val="24"/>
          <w:szCs w:val="24"/>
        </w:rPr>
        <w:t>ng 0</w:t>
      </w:r>
      <w:r w:rsidR="00A018FC" w:rsidRPr="00853902">
        <w:rPr>
          <w:rFonts w:ascii="Times New Roman" w:hAnsi="Times New Roman" w:cs="Times New Roman"/>
          <w:sz w:val="24"/>
          <w:szCs w:val="24"/>
        </w:rPr>
        <w:t xml:space="preserve"> gặp nhiều nhất chiế</w:t>
      </w:r>
      <w:r w:rsidR="00853902" w:rsidRPr="00853902">
        <w:rPr>
          <w:rFonts w:ascii="Times New Roman" w:hAnsi="Times New Roman" w:cs="Times New Roman"/>
          <w:sz w:val="24"/>
          <w:szCs w:val="24"/>
        </w:rPr>
        <w:t>m 52,8</w:t>
      </w:r>
      <w:r w:rsidR="00A018FC" w:rsidRPr="00853902">
        <w:rPr>
          <w:rFonts w:ascii="Times New Roman" w:hAnsi="Times New Roman" w:cs="Times New Roman"/>
          <w:sz w:val="24"/>
          <w:szCs w:val="24"/>
        </w:rPr>
        <w:t>%.</w:t>
      </w:r>
      <w:r w:rsidR="00A018FC" w:rsidRPr="004E2480">
        <w:rPr>
          <w:rFonts w:ascii="Times New Roman" w:hAnsi="Times New Roman" w:cs="Times New Roman"/>
          <w:sz w:val="24"/>
          <w:szCs w:val="24"/>
        </w:rPr>
        <w:t xml:space="preserve"> Xương là vị trí di căn thường gặp nhất chiếm 50%. Di căn não chiếm 36,1%. Di căn gan chiếm tỷ lệ thấp nhất 8,3%. Ung thư biểu mô tuyến là loại mô bệnh học thường gặp nhất chiếm 91,7%. Phác đồ hóa chất dùng nhiều nhất là pemetrexed</w:t>
      </w:r>
      <w:r w:rsidR="004E2480">
        <w:rPr>
          <w:rFonts w:ascii="Times New Roman" w:hAnsi="Times New Roman" w:cs="Times New Roman"/>
          <w:sz w:val="24"/>
          <w:szCs w:val="24"/>
        </w:rPr>
        <w:t xml:space="preserve"> </w:t>
      </w:r>
      <w:r w:rsidR="00A018FC" w:rsidRPr="004E2480">
        <w:rPr>
          <w:rFonts w:ascii="Times New Roman" w:hAnsi="Times New Roman" w:cs="Times New Roman"/>
          <w:sz w:val="24"/>
          <w:szCs w:val="24"/>
        </w:rPr>
        <w:t>-</w:t>
      </w:r>
      <w:r w:rsidR="004E2480">
        <w:rPr>
          <w:rFonts w:ascii="Times New Roman" w:hAnsi="Times New Roman" w:cs="Times New Roman"/>
          <w:sz w:val="24"/>
          <w:szCs w:val="24"/>
        </w:rPr>
        <w:t xml:space="preserve"> </w:t>
      </w:r>
      <w:r w:rsidR="00A018FC" w:rsidRPr="004E2480">
        <w:rPr>
          <w:rFonts w:ascii="Times New Roman" w:hAnsi="Times New Roman" w:cs="Times New Roman"/>
          <w:sz w:val="24"/>
          <w:szCs w:val="24"/>
        </w:rPr>
        <w:t xml:space="preserve">carboplatin chiếm 52,8%. NGS là kỹ thuật xét nghiệm thường dùng nhất chiếm 63,9%. </w:t>
      </w:r>
    </w:p>
    <w:p w:rsidR="007F7C95" w:rsidRPr="004E2480" w:rsidRDefault="004E2480" w:rsidP="004E2480">
      <w:pPr>
        <w:spacing w:after="0" w:line="240" w:lineRule="auto"/>
        <w:ind w:firstLine="720"/>
        <w:jc w:val="both"/>
        <w:rPr>
          <w:rFonts w:ascii="Times New Roman" w:hAnsi="Times New Roman" w:cs="Times New Roman"/>
          <w:sz w:val="24"/>
          <w:szCs w:val="24"/>
        </w:rPr>
      </w:pPr>
      <w:r w:rsidRPr="004E2480">
        <w:rPr>
          <w:rFonts w:ascii="Times New Roman" w:hAnsi="Times New Roman" w:cs="Times New Roman"/>
          <w:b/>
          <w:i/>
          <w:sz w:val="24"/>
          <w:szCs w:val="24"/>
        </w:rPr>
        <w:t xml:space="preserve">3.2. </w:t>
      </w:r>
      <w:r w:rsidR="007F7C95" w:rsidRPr="004E2480">
        <w:rPr>
          <w:rFonts w:ascii="Times New Roman" w:hAnsi="Times New Roman" w:cs="Times New Roman"/>
          <w:b/>
          <w:i/>
          <w:sz w:val="24"/>
          <w:szCs w:val="24"/>
        </w:rPr>
        <w:t>Kết quả điều trị</w:t>
      </w:r>
      <w:r>
        <w:rPr>
          <w:rFonts w:ascii="Times New Roman" w:hAnsi="Times New Roman" w:cs="Times New Roman"/>
          <w:b/>
          <w:i/>
          <w:sz w:val="24"/>
          <w:szCs w:val="24"/>
        </w:rPr>
        <w:t xml:space="preserve"> </w:t>
      </w:r>
    </w:p>
    <w:p w:rsidR="007F7C95" w:rsidRPr="004E2480" w:rsidRDefault="004E2480" w:rsidP="004E2480">
      <w:pPr>
        <w:spacing w:after="0" w:line="240" w:lineRule="auto"/>
        <w:ind w:firstLine="720"/>
        <w:jc w:val="both"/>
        <w:rPr>
          <w:rFonts w:ascii="Times New Roman" w:hAnsi="Times New Roman" w:cs="Times New Roman"/>
          <w:i/>
          <w:sz w:val="24"/>
          <w:szCs w:val="24"/>
        </w:rPr>
      </w:pPr>
      <w:r w:rsidRPr="004E2480">
        <w:rPr>
          <w:rFonts w:ascii="Times New Roman" w:hAnsi="Times New Roman" w:cs="Times New Roman"/>
          <w:i/>
          <w:sz w:val="24"/>
          <w:szCs w:val="24"/>
        </w:rPr>
        <w:lastRenderedPageBreak/>
        <w:t xml:space="preserve">3.2.1. </w:t>
      </w:r>
      <w:r w:rsidR="007F7C95" w:rsidRPr="004E2480">
        <w:rPr>
          <w:rFonts w:ascii="Times New Roman" w:hAnsi="Times New Roman" w:cs="Times New Roman"/>
          <w:i/>
          <w:sz w:val="24"/>
          <w:szCs w:val="24"/>
        </w:rPr>
        <w:t>Đáp ứng điều trị</w:t>
      </w:r>
      <w:r>
        <w:rPr>
          <w:rFonts w:ascii="Times New Roman" w:hAnsi="Times New Roman" w:cs="Times New Roman"/>
          <w:i/>
          <w:sz w:val="24"/>
          <w:szCs w:val="24"/>
        </w:rPr>
        <w:t xml:space="preserve"> </w:t>
      </w:r>
    </w:p>
    <w:p w:rsidR="007F7C95" w:rsidRPr="004E2480" w:rsidRDefault="007F7C95" w:rsidP="004E2480">
      <w:pPr>
        <w:pStyle w:val="ListParagraph"/>
        <w:spacing w:after="0" w:line="240" w:lineRule="auto"/>
        <w:ind w:left="1080"/>
        <w:jc w:val="center"/>
        <w:rPr>
          <w:rFonts w:ascii="Times New Roman" w:hAnsi="Times New Roman" w:cs="Times New Roman"/>
          <w:b/>
          <w:i/>
          <w:sz w:val="24"/>
          <w:szCs w:val="24"/>
        </w:rPr>
      </w:pPr>
      <w:r w:rsidRPr="004E2480">
        <w:rPr>
          <w:rFonts w:ascii="Times New Roman" w:hAnsi="Times New Roman" w:cs="Times New Roman"/>
          <w:b/>
          <w:i/>
          <w:sz w:val="24"/>
          <w:szCs w:val="24"/>
        </w:rPr>
        <w:t>Bảng 2: Đáp ứng điều trị</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2773"/>
        <w:gridCol w:w="2773"/>
      </w:tblGrid>
      <w:tr w:rsidR="00A018FC" w:rsidRPr="0026374F" w:rsidTr="002A2118">
        <w:tc>
          <w:tcPr>
            <w:tcW w:w="3854" w:type="dxa"/>
            <w:tcBorders>
              <w:top w:val="single" w:sz="4" w:space="0" w:color="auto"/>
              <w:bottom w:val="single" w:sz="4" w:space="0" w:color="auto"/>
            </w:tcBorders>
            <w:shd w:val="clear" w:color="auto" w:fill="D9D9D9" w:themeFill="background1" w:themeFillShade="D9"/>
          </w:tcPr>
          <w:p w:rsidR="00A018FC" w:rsidRPr="004E2480" w:rsidRDefault="00A018FC" w:rsidP="0026374F">
            <w:pPr>
              <w:pStyle w:val="ListParagraph"/>
              <w:ind w:left="0"/>
              <w:jc w:val="both"/>
              <w:rPr>
                <w:rFonts w:ascii="Times New Roman" w:hAnsi="Times New Roman" w:cs="Times New Roman"/>
                <w:b/>
              </w:rPr>
            </w:pPr>
            <w:r w:rsidRPr="004E2480">
              <w:rPr>
                <w:rFonts w:ascii="Times New Roman" w:hAnsi="Times New Roman" w:cs="Times New Roman"/>
                <w:b/>
              </w:rPr>
              <w:t>Đáp ứng điều trị</w:t>
            </w:r>
          </w:p>
        </w:tc>
        <w:tc>
          <w:tcPr>
            <w:tcW w:w="2773" w:type="dxa"/>
            <w:tcBorders>
              <w:top w:val="single" w:sz="4" w:space="0" w:color="auto"/>
              <w:bottom w:val="single" w:sz="4" w:space="0" w:color="auto"/>
            </w:tcBorders>
            <w:shd w:val="clear" w:color="auto" w:fill="D9D9D9" w:themeFill="background1" w:themeFillShade="D9"/>
          </w:tcPr>
          <w:p w:rsidR="00A018FC" w:rsidRPr="004E2480" w:rsidRDefault="00A018FC" w:rsidP="004E2480">
            <w:pPr>
              <w:pStyle w:val="ListParagraph"/>
              <w:ind w:left="0"/>
              <w:jc w:val="center"/>
              <w:rPr>
                <w:rFonts w:ascii="Times New Roman" w:hAnsi="Times New Roman" w:cs="Times New Roman"/>
                <w:b/>
              </w:rPr>
            </w:pPr>
            <w:r w:rsidRPr="004E2480">
              <w:rPr>
                <w:rFonts w:ascii="Times New Roman" w:hAnsi="Times New Roman" w:cs="Times New Roman"/>
                <w:b/>
              </w:rPr>
              <w:t>Số bệnh nhân (n)</w:t>
            </w:r>
          </w:p>
        </w:tc>
        <w:tc>
          <w:tcPr>
            <w:tcW w:w="2773" w:type="dxa"/>
            <w:tcBorders>
              <w:top w:val="single" w:sz="4" w:space="0" w:color="auto"/>
              <w:bottom w:val="single" w:sz="4" w:space="0" w:color="auto"/>
            </w:tcBorders>
            <w:shd w:val="clear" w:color="auto" w:fill="D9D9D9" w:themeFill="background1" w:themeFillShade="D9"/>
          </w:tcPr>
          <w:p w:rsidR="00A018FC" w:rsidRPr="004E2480" w:rsidRDefault="00A018FC" w:rsidP="004E2480">
            <w:pPr>
              <w:pStyle w:val="ListParagraph"/>
              <w:ind w:left="0"/>
              <w:jc w:val="center"/>
              <w:rPr>
                <w:rFonts w:ascii="Times New Roman" w:hAnsi="Times New Roman" w:cs="Times New Roman"/>
                <w:b/>
              </w:rPr>
            </w:pPr>
            <w:r w:rsidRPr="004E2480">
              <w:rPr>
                <w:rFonts w:ascii="Times New Roman" w:hAnsi="Times New Roman" w:cs="Times New Roman"/>
                <w:b/>
              </w:rPr>
              <w:t>Tỷ lệ (%)</w:t>
            </w:r>
          </w:p>
        </w:tc>
      </w:tr>
      <w:tr w:rsidR="00A018FC" w:rsidRPr="0026374F" w:rsidTr="002A2118">
        <w:tc>
          <w:tcPr>
            <w:tcW w:w="3854" w:type="dxa"/>
            <w:tcBorders>
              <w:top w:val="single" w:sz="4" w:space="0" w:color="auto"/>
            </w:tcBorders>
          </w:tcPr>
          <w:p w:rsidR="00A018FC" w:rsidRPr="004E2480" w:rsidRDefault="00A018FC" w:rsidP="002A2118">
            <w:pPr>
              <w:pStyle w:val="ListParagraph"/>
              <w:jc w:val="both"/>
              <w:rPr>
                <w:rFonts w:ascii="Times New Roman" w:hAnsi="Times New Roman" w:cs="Times New Roman"/>
              </w:rPr>
            </w:pPr>
            <w:r w:rsidRPr="004E2480">
              <w:rPr>
                <w:rFonts w:ascii="Times New Roman" w:hAnsi="Times New Roman" w:cs="Times New Roman"/>
              </w:rPr>
              <w:t>Đáp ứng hoàn toàn</w:t>
            </w:r>
          </w:p>
        </w:tc>
        <w:tc>
          <w:tcPr>
            <w:tcW w:w="2773" w:type="dxa"/>
            <w:tcBorders>
              <w:top w:val="single" w:sz="4" w:space="0" w:color="auto"/>
            </w:tcBorders>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0</w:t>
            </w:r>
          </w:p>
        </w:tc>
        <w:tc>
          <w:tcPr>
            <w:tcW w:w="2773" w:type="dxa"/>
            <w:tcBorders>
              <w:top w:val="single" w:sz="4" w:space="0" w:color="auto"/>
            </w:tcBorders>
          </w:tcPr>
          <w:p w:rsidR="00A018FC" w:rsidRPr="004E2480" w:rsidRDefault="00A018FC" w:rsidP="004E2480">
            <w:pPr>
              <w:jc w:val="center"/>
              <w:rPr>
                <w:rFonts w:ascii="Times New Roman" w:hAnsi="Times New Roman" w:cs="Times New Roman"/>
              </w:rPr>
            </w:pPr>
            <w:r w:rsidRPr="004E2480">
              <w:rPr>
                <w:rFonts w:ascii="Times New Roman" w:hAnsi="Times New Roman" w:cs="Times New Roman"/>
              </w:rPr>
              <w:t>0</w:t>
            </w:r>
          </w:p>
        </w:tc>
      </w:tr>
      <w:tr w:rsidR="00A018FC" w:rsidRPr="0026374F" w:rsidTr="002A2118">
        <w:tc>
          <w:tcPr>
            <w:tcW w:w="3854" w:type="dxa"/>
          </w:tcPr>
          <w:p w:rsidR="00A018FC" w:rsidRPr="004E2480" w:rsidRDefault="00A018FC" w:rsidP="002A2118">
            <w:pPr>
              <w:pStyle w:val="ListParagraph"/>
              <w:jc w:val="both"/>
              <w:rPr>
                <w:rFonts w:ascii="Times New Roman" w:hAnsi="Times New Roman" w:cs="Times New Roman"/>
              </w:rPr>
            </w:pPr>
            <w:r w:rsidRPr="004E2480">
              <w:rPr>
                <w:rFonts w:ascii="Times New Roman" w:hAnsi="Times New Roman" w:cs="Times New Roman"/>
              </w:rPr>
              <w:t>Đáp ứng một phần</w:t>
            </w:r>
          </w:p>
        </w:tc>
        <w:tc>
          <w:tcPr>
            <w:tcW w:w="277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9</w:t>
            </w:r>
          </w:p>
        </w:tc>
        <w:tc>
          <w:tcPr>
            <w:tcW w:w="2773" w:type="dxa"/>
          </w:tcPr>
          <w:p w:rsidR="00A018FC" w:rsidRPr="004E2480" w:rsidRDefault="002A2118" w:rsidP="004E2480">
            <w:pPr>
              <w:pStyle w:val="ListParagraph"/>
              <w:ind w:left="0"/>
              <w:jc w:val="center"/>
              <w:rPr>
                <w:rFonts w:ascii="Times New Roman" w:hAnsi="Times New Roman" w:cs="Times New Roman"/>
              </w:rPr>
            </w:pPr>
            <w:r>
              <w:rPr>
                <w:rFonts w:ascii="Times New Roman" w:hAnsi="Times New Roman" w:cs="Times New Roman"/>
              </w:rPr>
              <w:t>25</w:t>
            </w:r>
          </w:p>
        </w:tc>
      </w:tr>
      <w:tr w:rsidR="00A018FC" w:rsidRPr="0026374F" w:rsidTr="002A2118">
        <w:tc>
          <w:tcPr>
            <w:tcW w:w="3854" w:type="dxa"/>
          </w:tcPr>
          <w:p w:rsidR="00A018FC" w:rsidRPr="004E2480" w:rsidRDefault="00A018FC" w:rsidP="002A2118">
            <w:pPr>
              <w:pStyle w:val="ListParagraph"/>
              <w:jc w:val="both"/>
              <w:rPr>
                <w:rFonts w:ascii="Times New Roman" w:hAnsi="Times New Roman" w:cs="Times New Roman"/>
              </w:rPr>
            </w:pPr>
            <w:r w:rsidRPr="004E2480">
              <w:rPr>
                <w:rFonts w:ascii="Times New Roman" w:hAnsi="Times New Roman" w:cs="Times New Roman"/>
              </w:rPr>
              <w:t>Bệnh ổn định</w:t>
            </w:r>
          </w:p>
        </w:tc>
        <w:tc>
          <w:tcPr>
            <w:tcW w:w="277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15</w:t>
            </w:r>
          </w:p>
        </w:tc>
        <w:tc>
          <w:tcPr>
            <w:tcW w:w="277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41,7</w:t>
            </w:r>
          </w:p>
        </w:tc>
      </w:tr>
      <w:tr w:rsidR="00A018FC" w:rsidRPr="0026374F" w:rsidTr="002A2118">
        <w:tc>
          <w:tcPr>
            <w:tcW w:w="3854" w:type="dxa"/>
          </w:tcPr>
          <w:p w:rsidR="00A018FC" w:rsidRPr="004E2480" w:rsidRDefault="00A018FC" w:rsidP="002A2118">
            <w:pPr>
              <w:pStyle w:val="ListParagraph"/>
              <w:jc w:val="both"/>
              <w:rPr>
                <w:rFonts w:ascii="Times New Roman" w:hAnsi="Times New Roman" w:cs="Times New Roman"/>
              </w:rPr>
            </w:pPr>
            <w:r w:rsidRPr="004E2480">
              <w:rPr>
                <w:rFonts w:ascii="Times New Roman" w:hAnsi="Times New Roman" w:cs="Times New Roman"/>
              </w:rPr>
              <w:t>Bệnh tiến triển</w:t>
            </w:r>
          </w:p>
        </w:tc>
        <w:tc>
          <w:tcPr>
            <w:tcW w:w="277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12</w:t>
            </w:r>
          </w:p>
        </w:tc>
        <w:tc>
          <w:tcPr>
            <w:tcW w:w="2773" w:type="dxa"/>
          </w:tcPr>
          <w:p w:rsidR="00A018FC" w:rsidRPr="004E2480" w:rsidRDefault="00A018FC" w:rsidP="004E2480">
            <w:pPr>
              <w:pStyle w:val="ListParagraph"/>
              <w:ind w:left="0"/>
              <w:jc w:val="center"/>
              <w:rPr>
                <w:rFonts w:ascii="Times New Roman" w:hAnsi="Times New Roman" w:cs="Times New Roman"/>
              </w:rPr>
            </w:pPr>
            <w:r w:rsidRPr="004E2480">
              <w:rPr>
                <w:rFonts w:ascii="Times New Roman" w:hAnsi="Times New Roman" w:cs="Times New Roman"/>
              </w:rPr>
              <w:t>33,3</w:t>
            </w:r>
          </w:p>
        </w:tc>
      </w:tr>
    </w:tbl>
    <w:p w:rsidR="007F7C95" w:rsidRPr="0026374F" w:rsidRDefault="002A2118" w:rsidP="002A2118">
      <w:pPr>
        <w:spacing w:after="0" w:line="240" w:lineRule="auto"/>
        <w:jc w:val="both"/>
        <w:rPr>
          <w:rFonts w:ascii="Times New Roman" w:hAnsi="Times New Roman" w:cs="Times New Roman"/>
          <w:sz w:val="24"/>
          <w:szCs w:val="24"/>
        </w:rPr>
      </w:pPr>
      <w:r w:rsidRPr="002A2118">
        <w:rPr>
          <w:rFonts w:ascii="Times New Roman" w:hAnsi="Times New Roman" w:cs="Times New Roman"/>
          <w:i/>
          <w:sz w:val="24"/>
          <w:szCs w:val="24"/>
        </w:rPr>
        <w:t>Nhận xét:</w:t>
      </w:r>
      <w:r>
        <w:rPr>
          <w:rFonts w:ascii="Times New Roman" w:hAnsi="Times New Roman" w:cs="Times New Roman"/>
          <w:sz w:val="24"/>
          <w:szCs w:val="24"/>
        </w:rPr>
        <w:t xml:space="preserve"> </w:t>
      </w:r>
      <w:r w:rsidR="00DC43E1" w:rsidRPr="0026374F">
        <w:rPr>
          <w:rFonts w:ascii="Times New Roman" w:hAnsi="Times New Roman" w:cs="Times New Roman"/>
          <w:sz w:val="24"/>
          <w:szCs w:val="24"/>
        </w:rPr>
        <w:t xml:space="preserve">Tỷ lệ đáp ứng là 25%, tỷ lệ kiểm soát bệnh là 66,7%. </w:t>
      </w:r>
    </w:p>
    <w:p w:rsidR="002A2118" w:rsidRDefault="002A2118" w:rsidP="0026374F">
      <w:pPr>
        <w:pStyle w:val="ListParagraph"/>
        <w:spacing w:after="0" w:line="240" w:lineRule="auto"/>
        <w:ind w:left="1080"/>
        <w:jc w:val="both"/>
        <w:rPr>
          <w:rFonts w:ascii="Times New Roman" w:hAnsi="Times New Roman" w:cs="Times New Roman"/>
          <w:sz w:val="24"/>
          <w:szCs w:val="24"/>
        </w:rPr>
      </w:pPr>
    </w:p>
    <w:p w:rsidR="00262BF9" w:rsidRDefault="00262BF9" w:rsidP="00262BF9">
      <w:pPr>
        <w:pStyle w:val="NormalWeb"/>
        <w:jc w:val="center"/>
      </w:pPr>
      <w:r>
        <w:rPr>
          <w:noProof/>
        </w:rPr>
        <w:drawing>
          <wp:inline distT="0" distB="0" distL="0" distR="0">
            <wp:extent cx="4557414" cy="3337756"/>
            <wp:effectExtent l="0" t="0" r="0" b="0"/>
            <wp:docPr id="3" name="Picture 3" descr="C:\Users\Dr Kien\Downloads\2e5cc269629bc7c59e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Kien\Downloads\2e5cc269629bc7c59e8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0608" cy="3354743"/>
                    </a:xfrm>
                    <a:prstGeom prst="rect">
                      <a:avLst/>
                    </a:prstGeom>
                    <a:noFill/>
                    <a:ln>
                      <a:noFill/>
                    </a:ln>
                  </pic:spPr>
                </pic:pic>
              </a:graphicData>
            </a:graphic>
          </wp:inline>
        </w:drawing>
      </w:r>
    </w:p>
    <w:p w:rsidR="007F7C95" w:rsidRPr="00262BF9" w:rsidRDefault="00262BF9" w:rsidP="00262BF9">
      <w:pPr>
        <w:pStyle w:val="ListParagraph"/>
        <w:spacing w:after="0" w:line="240" w:lineRule="auto"/>
        <w:ind w:left="1080"/>
        <w:jc w:val="center"/>
        <w:rPr>
          <w:rFonts w:ascii="Times New Roman" w:hAnsi="Times New Roman" w:cs="Times New Roman"/>
          <w:b/>
          <w:i/>
          <w:sz w:val="24"/>
          <w:szCs w:val="24"/>
        </w:rPr>
      </w:pPr>
      <w:r w:rsidRPr="00262BF9">
        <w:rPr>
          <w:rFonts w:ascii="Times New Roman" w:hAnsi="Times New Roman" w:cs="Times New Roman"/>
          <w:b/>
          <w:i/>
          <w:sz w:val="24"/>
          <w:szCs w:val="24"/>
        </w:rPr>
        <w:t>Biểu</w:t>
      </w:r>
      <w:r w:rsidR="00A51E24" w:rsidRPr="00262BF9">
        <w:rPr>
          <w:rFonts w:ascii="Times New Roman" w:hAnsi="Times New Roman" w:cs="Times New Roman"/>
          <w:b/>
          <w:i/>
          <w:sz w:val="24"/>
          <w:szCs w:val="24"/>
        </w:rPr>
        <w:t xml:space="preserve"> đồ 1: Thời gian sống thêm </w:t>
      </w:r>
      <w:r w:rsidRPr="00262BF9">
        <w:rPr>
          <w:rFonts w:ascii="Times New Roman" w:hAnsi="Times New Roman" w:cs="Times New Roman"/>
          <w:b/>
          <w:i/>
          <w:sz w:val="24"/>
          <w:szCs w:val="24"/>
        </w:rPr>
        <w:t>không bệnh</w:t>
      </w:r>
      <w:r w:rsidR="00A51E24" w:rsidRPr="00262BF9">
        <w:rPr>
          <w:rFonts w:ascii="Times New Roman" w:hAnsi="Times New Roman" w:cs="Times New Roman"/>
          <w:b/>
          <w:i/>
          <w:sz w:val="24"/>
          <w:szCs w:val="24"/>
        </w:rPr>
        <w:t xml:space="preserve"> tiến triển</w:t>
      </w:r>
    </w:p>
    <w:p w:rsidR="00262BF9" w:rsidRPr="00262BF9" w:rsidRDefault="00262BF9" w:rsidP="00262BF9">
      <w:pPr>
        <w:spacing w:after="0" w:line="240" w:lineRule="auto"/>
        <w:jc w:val="both"/>
        <w:rPr>
          <w:rFonts w:ascii="Times New Roman" w:hAnsi="Times New Roman" w:cs="Times New Roman"/>
          <w:sz w:val="24"/>
          <w:szCs w:val="24"/>
        </w:rPr>
      </w:pPr>
      <w:r w:rsidRPr="00262BF9">
        <w:rPr>
          <w:rFonts w:ascii="Times New Roman" w:hAnsi="Times New Roman" w:cs="Times New Roman"/>
          <w:i/>
          <w:sz w:val="24"/>
          <w:szCs w:val="24"/>
        </w:rPr>
        <w:t>Nhận xét:</w:t>
      </w:r>
      <w:r w:rsidRPr="00262BF9">
        <w:rPr>
          <w:rFonts w:ascii="Times New Roman" w:hAnsi="Times New Roman" w:cs="Times New Roman"/>
          <w:sz w:val="24"/>
          <w:szCs w:val="24"/>
        </w:rPr>
        <w:t xml:space="preserve"> Trung vị thời gian số</w:t>
      </w:r>
      <w:r>
        <w:rPr>
          <w:rFonts w:ascii="Times New Roman" w:hAnsi="Times New Roman" w:cs="Times New Roman"/>
          <w:sz w:val="24"/>
          <w:szCs w:val="24"/>
        </w:rPr>
        <w:t>ng thêm</w:t>
      </w:r>
      <w:r w:rsidRPr="00262BF9">
        <w:rPr>
          <w:rFonts w:ascii="Times New Roman" w:hAnsi="Times New Roman" w:cs="Times New Roman"/>
          <w:sz w:val="24"/>
          <w:szCs w:val="24"/>
        </w:rPr>
        <w:t xml:space="preserve"> không </w:t>
      </w:r>
      <w:r>
        <w:rPr>
          <w:rFonts w:ascii="Times New Roman" w:hAnsi="Times New Roman" w:cs="Times New Roman"/>
          <w:sz w:val="24"/>
          <w:szCs w:val="24"/>
        </w:rPr>
        <w:t xml:space="preserve">bệnh </w:t>
      </w:r>
      <w:r w:rsidRPr="00262BF9">
        <w:rPr>
          <w:rFonts w:ascii="Times New Roman" w:hAnsi="Times New Roman" w:cs="Times New Roman"/>
          <w:sz w:val="24"/>
          <w:szCs w:val="24"/>
        </w:rPr>
        <w:t>tiến triển là 7 tháng</w:t>
      </w:r>
      <w:r>
        <w:rPr>
          <w:rFonts w:ascii="Times New Roman" w:hAnsi="Times New Roman" w:cs="Times New Roman"/>
          <w:sz w:val="24"/>
          <w:szCs w:val="24"/>
        </w:rPr>
        <w:t>.</w:t>
      </w:r>
    </w:p>
    <w:p w:rsidR="00E663D4" w:rsidRPr="0026374F" w:rsidRDefault="00E663D4" w:rsidP="0026374F">
      <w:pPr>
        <w:autoSpaceDE w:val="0"/>
        <w:autoSpaceDN w:val="0"/>
        <w:adjustRightInd w:val="0"/>
        <w:spacing w:after="0" w:line="240" w:lineRule="auto"/>
        <w:jc w:val="both"/>
        <w:rPr>
          <w:rFonts w:ascii="Times New Roman" w:hAnsi="Times New Roman" w:cs="Times New Roman"/>
          <w:sz w:val="24"/>
          <w:szCs w:val="24"/>
        </w:rPr>
      </w:pPr>
    </w:p>
    <w:p w:rsidR="00262BF9" w:rsidRDefault="00262BF9" w:rsidP="00262BF9">
      <w:pPr>
        <w:pStyle w:val="NormalWeb"/>
        <w:jc w:val="center"/>
      </w:pPr>
      <w:r>
        <w:rPr>
          <w:noProof/>
        </w:rPr>
        <w:lastRenderedPageBreak/>
        <w:drawing>
          <wp:inline distT="0" distB="0" distL="0" distR="0">
            <wp:extent cx="4071483" cy="3075073"/>
            <wp:effectExtent l="0" t="0" r="5715" b="0"/>
            <wp:docPr id="4" name="Picture 4" descr="C:\Users\Dr Kien\Downloads\b2c24269e89b4dc514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Kien\Downloads\b2c24269e89b4dc5148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096" cy="3086109"/>
                    </a:xfrm>
                    <a:prstGeom prst="rect">
                      <a:avLst/>
                    </a:prstGeom>
                    <a:noFill/>
                    <a:ln>
                      <a:noFill/>
                    </a:ln>
                  </pic:spPr>
                </pic:pic>
              </a:graphicData>
            </a:graphic>
          </wp:inline>
        </w:drawing>
      </w:r>
    </w:p>
    <w:p w:rsidR="00A51E24" w:rsidRPr="00262BF9" w:rsidRDefault="00262BF9" w:rsidP="00262BF9">
      <w:pPr>
        <w:spacing w:after="0" w:line="240" w:lineRule="auto"/>
        <w:jc w:val="center"/>
        <w:rPr>
          <w:rFonts w:ascii="Times New Roman" w:hAnsi="Times New Roman" w:cs="Times New Roman"/>
          <w:b/>
          <w:i/>
          <w:sz w:val="24"/>
          <w:szCs w:val="24"/>
        </w:rPr>
      </w:pPr>
      <w:r w:rsidRPr="00262BF9">
        <w:rPr>
          <w:rFonts w:ascii="Times New Roman" w:hAnsi="Times New Roman" w:cs="Times New Roman"/>
          <w:b/>
          <w:i/>
          <w:sz w:val="24"/>
          <w:szCs w:val="24"/>
        </w:rPr>
        <w:t>Biểu</w:t>
      </w:r>
      <w:r w:rsidR="00A51E24" w:rsidRPr="00262BF9">
        <w:rPr>
          <w:rFonts w:ascii="Times New Roman" w:hAnsi="Times New Roman" w:cs="Times New Roman"/>
          <w:b/>
          <w:i/>
          <w:sz w:val="24"/>
          <w:szCs w:val="24"/>
        </w:rPr>
        <w:t xml:space="preserve"> đồ 2: Thời gian sống thêm toàn bộ</w:t>
      </w:r>
    </w:p>
    <w:p w:rsidR="00262BF9" w:rsidRDefault="00262BF9" w:rsidP="00262BF9">
      <w:pPr>
        <w:spacing w:after="0" w:line="240" w:lineRule="auto"/>
        <w:jc w:val="both"/>
        <w:rPr>
          <w:rFonts w:ascii="Times New Roman" w:hAnsi="Times New Roman" w:cs="Times New Roman"/>
          <w:sz w:val="24"/>
          <w:szCs w:val="24"/>
        </w:rPr>
      </w:pPr>
      <w:r w:rsidRPr="00262BF9">
        <w:rPr>
          <w:rFonts w:ascii="Times New Roman" w:hAnsi="Times New Roman" w:cs="Times New Roman"/>
          <w:i/>
          <w:sz w:val="24"/>
          <w:szCs w:val="24"/>
        </w:rPr>
        <w:t>Nhận xét:</w:t>
      </w:r>
      <w:r>
        <w:rPr>
          <w:rFonts w:ascii="Times New Roman" w:hAnsi="Times New Roman" w:cs="Times New Roman"/>
          <w:sz w:val="24"/>
          <w:szCs w:val="24"/>
        </w:rPr>
        <w:t xml:space="preserve"> </w:t>
      </w:r>
      <w:r w:rsidR="00E663D4" w:rsidRPr="00262BF9">
        <w:rPr>
          <w:rFonts w:ascii="Times New Roman" w:hAnsi="Times New Roman" w:cs="Times New Roman"/>
          <w:sz w:val="24"/>
          <w:szCs w:val="24"/>
        </w:rPr>
        <w:t>Trung vị thời gian sống thêm toàn bộ là 17 tháng</w:t>
      </w:r>
      <w:r>
        <w:rPr>
          <w:rFonts w:ascii="Times New Roman" w:hAnsi="Times New Roman" w:cs="Times New Roman"/>
          <w:sz w:val="24"/>
          <w:szCs w:val="24"/>
        </w:rPr>
        <w:t>.</w:t>
      </w:r>
    </w:p>
    <w:p w:rsidR="005A22E4" w:rsidRPr="00262BF9" w:rsidRDefault="00262BF9" w:rsidP="00262BF9">
      <w:pPr>
        <w:spacing w:after="0" w:line="240" w:lineRule="auto"/>
        <w:ind w:firstLine="720"/>
        <w:jc w:val="both"/>
        <w:rPr>
          <w:rFonts w:ascii="Times New Roman" w:hAnsi="Times New Roman" w:cs="Times New Roman"/>
          <w:b/>
          <w:i/>
          <w:sz w:val="24"/>
          <w:szCs w:val="24"/>
        </w:rPr>
      </w:pPr>
      <w:r w:rsidRPr="00262BF9">
        <w:rPr>
          <w:rFonts w:ascii="Times New Roman" w:hAnsi="Times New Roman" w:cs="Times New Roman"/>
          <w:b/>
          <w:i/>
          <w:sz w:val="24"/>
          <w:szCs w:val="24"/>
        </w:rPr>
        <w:t xml:space="preserve">3.3. </w:t>
      </w:r>
      <w:r w:rsidR="005A22E4" w:rsidRPr="00262BF9">
        <w:rPr>
          <w:rFonts w:ascii="Times New Roman" w:hAnsi="Times New Roman" w:cs="Times New Roman"/>
          <w:b/>
          <w:i/>
          <w:sz w:val="24"/>
          <w:szCs w:val="24"/>
        </w:rPr>
        <w:t xml:space="preserve">Tác dụng không mong muốn của phác đồ </w:t>
      </w:r>
    </w:p>
    <w:p w:rsidR="00A51E24" w:rsidRPr="00262BF9" w:rsidRDefault="00A51E24" w:rsidP="00262BF9">
      <w:pPr>
        <w:pStyle w:val="ListParagraph"/>
        <w:spacing w:after="0" w:line="240" w:lineRule="auto"/>
        <w:jc w:val="center"/>
        <w:rPr>
          <w:rFonts w:ascii="Times New Roman" w:hAnsi="Times New Roman" w:cs="Times New Roman"/>
          <w:b/>
          <w:i/>
          <w:sz w:val="24"/>
          <w:szCs w:val="24"/>
        </w:rPr>
      </w:pPr>
      <w:r w:rsidRPr="00262BF9">
        <w:rPr>
          <w:rFonts w:ascii="Times New Roman" w:hAnsi="Times New Roman" w:cs="Times New Roman"/>
          <w:b/>
          <w:i/>
          <w:sz w:val="24"/>
          <w:szCs w:val="24"/>
        </w:rPr>
        <w:t>Bảng 3: Tác dụng không mong muốn của phác đồ</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1704"/>
        <w:gridCol w:w="1993"/>
      </w:tblGrid>
      <w:tr w:rsidR="00A018FC" w:rsidRPr="00262BF9" w:rsidTr="00262BF9">
        <w:tc>
          <w:tcPr>
            <w:tcW w:w="5659" w:type="dxa"/>
            <w:tcBorders>
              <w:top w:val="single" w:sz="4" w:space="0" w:color="auto"/>
              <w:bottom w:val="single" w:sz="4" w:space="0" w:color="auto"/>
            </w:tcBorders>
            <w:shd w:val="clear" w:color="auto" w:fill="D9D9D9" w:themeFill="background1" w:themeFillShade="D9"/>
          </w:tcPr>
          <w:p w:rsidR="00A018FC" w:rsidRPr="00262BF9" w:rsidRDefault="00A018FC" w:rsidP="0026374F">
            <w:pPr>
              <w:pStyle w:val="ListParagraph"/>
              <w:ind w:left="0"/>
              <w:jc w:val="both"/>
              <w:rPr>
                <w:rFonts w:ascii="Times New Roman" w:hAnsi="Times New Roman" w:cs="Times New Roman"/>
                <w:b/>
              </w:rPr>
            </w:pPr>
            <w:r w:rsidRPr="00262BF9">
              <w:rPr>
                <w:rFonts w:ascii="Times New Roman" w:hAnsi="Times New Roman" w:cs="Times New Roman"/>
                <w:b/>
              </w:rPr>
              <w:t>Tác dụng không mong muốn</w:t>
            </w:r>
          </w:p>
        </w:tc>
        <w:tc>
          <w:tcPr>
            <w:tcW w:w="1704" w:type="dxa"/>
            <w:tcBorders>
              <w:top w:val="single" w:sz="4" w:space="0" w:color="auto"/>
              <w:bottom w:val="single" w:sz="4" w:space="0" w:color="auto"/>
            </w:tcBorders>
            <w:shd w:val="clear" w:color="auto" w:fill="D9D9D9" w:themeFill="background1" w:themeFillShade="D9"/>
          </w:tcPr>
          <w:p w:rsidR="00A018FC" w:rsidRPr="00262BF9" w:rsidRDefault="00A018FC" w:rsidP="00262BF9">
            <w:pPr>
              <w:pStyle w:val="ListParagraph"/>
              <w:ind w:left="0"/>
              <w:jc w:val="center"/>
              <w:rPr>
                <w:rFonts w:ascii="Times New Roman" w:hAnsi="Times New Roman" w:cs="Times New Roman"/>
                <w:b/>
              </w:rPr>
            </w:pPr>
            <w:r w:rsidRPr="00262BF9">
              <w:rPr>
                <w:rFonts w:ascii="Times New Roman" w:hAnsi="Times New Roman" w:cs="Times New Roman"/>
                <w:b/>
              </w:rPr>
              <w:t>Tất cả các độ</w:t>
            </w:r>
          </w:p>
        </w:tc>
        <w:tc>
          <w:tcPr>
            <w:tcW w:w="1993" w:type="dxa"/>
            <w:tcBorders>
              <w:top w:val="single" w:sz="4" w:space="0" w:color="auto"/>
              <w:bottom w:val="single" w:sz="4" w:space="0" w:color="auto"/>
            </w:tcBorders>
            <w:shd w:val="clear" w:color="auto" w:fill="D9D9D9" w:themeFill="background1" w:themeFillShade="D9"/>
          </w:tcPr>
          <w:p w:rsidR="00A018FC" w:rsidRPr="00262BF9" w:rsidRDefault="00A018FC" w:rsidP="00262BF9">
            <w:pPr>
              <w:pStyle w:val="ListParagraph"/>
              <w:ind w:left="0"/>
              <w:jc w:val="center"/>
              <w:rPr>
                <w:rFonts w:ascii="Times New Roman" w:hAnsi="Times New Roman" w:cs="Times New Roman"/>
                <w:b/>
              </w:rPr>
            </w:pPr>
            <w:r w:rsidRPr="00262BF9">
              <w:rPr>
                <w:rFonts w:ascii="Times New Roman" w:hAnsi="Times New Roman" w:cs="Times New Roman"/>
                <w:b/>
              </w:rPr>
              <w:t>Độ ≥ 3</w:t>
            </w:r>
          </w:p>
        </w:tc>
      </w:tr>
      <w:tr w:rsidR="00A018FC" w:rsidRPr="00262BF9" w:rsidTr="00262BF9">
        <w:tc>
          <w:tcPr>
            <w:tcW w:w="5659" w:type="dxa"/>
            <w:tcBorders>
              <w:top w:val="single" w:sz="4" w:space="0" w:color="auto"/>
            </w:tcBorders>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Hạ bạch cầu</w:t>
            </w:r>
          </w:p>
        </w:tc>
        <w:tc>
          <w:tcPr>
            <w:tcW w:w="1704" w:type="dxa"/>
            <w:tcBorders>
              <w:top w:val="single" w:sz="4" w:space="0" w:color="auto"/>
            </w:tcBorders>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58% (n=21)</w:t>
            </w:r>
          </w:p>
        </w:tc>
        <w:tc>
          <w:tcPr>
            <w:tcW w:w="1993" w:type="dxa"/>
            <w:tcBorders>
              <w:top w:val="single" w:sz="4" w:space="0" w:color="auto"/>
            </w:tcBorders>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25% (n=9)</w:t>
            </w:r>
          </w:p>
        </w:tc>
      </w:tr>
      <w:tr w:rsidR="00A018FC" w:rsidRPr="00262BF9" w:rsidTr="00262BF9">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Thiếu máu</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38% (n=14)</w:t>
            </w:r>
          </w:p>
        </w:tc>
        <w:tc>
          <w:tcPr>
            <w:tcW w:w="1993"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8% (n=3)</w:t>
            </w:r>
          </w:p>
        </w:tc>
      </w:tr>
      <w:tr w:rsidR="00A018FC" w:rsidRPr="00262BF9" w:rsidTr="00262BF9">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Hạ tiểu cầu</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36% (n=13)</w:t>
            </w:r>
          </w:p>
        </w:tc>
        <w:tc>
          <w:tcPr>
            <w:tcW w:w="1993"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6% (n=2)</w:t>
            </w:r>
          </w:p>
        </w:tc>
      </w:tr>
      <w:tr w:rsidR="00A018FC" w:rsidRPr="00262BF9" w:rsidTr="00262BF9">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 xml:space="preserve">Nôn </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22% (n=8)</w:t>
            </w:r>
          </w:p>
        </w:tc>
        <w:tc>
          <w:tcPr>
            <w:tcW w:w="1993"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0% (n=0)</w:t>
            </w:r>
          </w:p>
        </w:tc>
      </w:tr>
      <w:tr w:rsidR="00A018FC" w:rsidRPr="00262BF9" w:rsidTr="00262BF9">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 xml:space="preserve">Buồn nôn </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42% (n=15)</w:t>
            </w:r>
          </w:p>
        </w:tc>
        <w:tc>
          <w:tcPr>
            <w:tcW w:w="1993"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0% (n=0)</w:t>
            </w:r>
          </w:p>
        </w:tc>
      </w:tr>
      <w:tr w:rsidR="00A018FC" w:rsidRPr="00262BF9" w:rsidTr="00262BF9">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Mệt mỏi</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17% (n=6)</w:t>
            </w:r>
          </w:p>
        </w:tc>
        <w:tc>
          <w:tcPr>
            <w:tcW w:w="1993"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0% (n=0)</w:t>
            </w:r>
          </w:p>
        </w:tc>
      </w:tr>
      <w:tr w:rsidR="00A018FC" w:rsidRPr="00262BF9" w:rsidTr="00262BF9">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Tăng AST</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36% (n=13)</w:t>
            </w:r>
          </w:p>
        </w:tc>
        <w:tc>
          <w:tcPr>
            <w:tcW w:w="1993"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0% (n=0)</w:t>
            </w:r>
          </w:p>
        </w:tc>
      </w:tr>
      <w:tr w:rsidR="00A018FC" w:rsidRPr="00262BF9" w:rsidTr="00262BF9">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Tăng ALT</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36% (n=13)</w:t>
            </w:r>
          </w:p>
        </w:tc>
        <w:tc>
          <w:tcPr>
            <w:tcW w:w="1993"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0% (n=0)</w:t>
            </w:r>
          </w:p>
        </w:tc>
      </w:tr>
      <w:tr w:rsidR="00A018FC" w:rsidRPr="00262BF9" w:rsidTr="00262BF9">
        <w:trPr>
          <w:trHeight w:val="70"/>
        </w:trPr>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Tăng creatinin</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14% (n=5)</w:t>
            </w:r>
          </w:p>
        </w:tc>
        <w:tc>
          <w:tcPr>
            <w:tcW w:w="1993"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0% (n=0)</w:t>
            </w:r>
          </w:p>
        </w:tc>
      </w:tr>
      <w:tr w:rsidR="00A018FC" w:rsidRPr="00262BF9" w:rsidTr="00262BF9">
        <w:trPr>
          <w:trHeight w:val="70"/>
        </w:trPr>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Độc tính thần kinh ngoại vi</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44% (n=16)</w:t>
            </w:r>
          </w:p>
        </w:tc>
        <w:tc>
          <w:tcPr>
            <w:tcW w:w="1993"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6% (n=2)</w:t>
            </w:r>
          </w:p>
        </w:tc>
      </w:tr>
      <w:tr w:rsidR="00A018FC" w:rsidRPr="00262BF9" w:rsidTr="00262BF9">
        <w:trPr>
          <w:trHeight w:val="70"/>
        </w:trPr>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Giảm liều hóa chất</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17% (n=6)</w:t>
            </w:r>
          </w:p>
        </w:tc>
        <w:tc>
          <w:tcPr>
            <w:tcW w:w="1993" w:type="dxa"/>
          </w:tcPr>
          <w:p w:rsidR="00A018FC" w:rsidRPr="00262BF9" w:rsidRDefault="00A018FC" w:rsidP="00262BF9">
            <w:pPr>
              <w:pStyle w:val="ListParagraph"/>
              <w:ind w:left="0"/>
              <w:jc w:val="center"/>
              <w:rPr>
                <w:rFonts w:ascii="Times New Roman" w:hAnsi="Times New Roman" w:cs="Times New Roman"/>
              </w:rPr>
            </w:pPr>
          </w:p>
        </w:tc>
      </w:tr>
      <w:tr w:rsidR="00A018FC" w:rsidRPr="00262BF9" w:rsidTr="00262BF9">
        <w:trPr>
          <w:trHeight w:val="70"/>
        </w:trPr>
        <w:tc>
          <w:tcPr>
            <w:tcW w:w="5659" w:type="dxa"/>
          </w:tcPr>
          <w:p w:rsidR="00A018FC" w:rsidRPr="00262BF9" w:rsidRDefault="00A018FC" w:rsidP="00262BF9">
            <w:pPr>
              <w:pStyle w:val="ListParagraph"/>
              <w:jc w:val="both"/>
              <w:rPr>
                <w:rFonts w:ascii="Times New Roman" w:hAnsi="Times New Roman" w:cs="Times New Roman"/>
              </w:rPr>
            </w:pPr>
            <w:r w:rsidRPr="00262BF9">
              <w:rPr>
                <w:rFonts w:ascii="Times New Roman" w:hAnsi="Times New Roman" w:cs="Times New Roman"/>
              </w:rPr>
              <w:t xml:space="preserve">Dừng điều trị do tác dụng không mong muốn </w:t>
            </w:r>
          </w:p>
        </w:tc>
        <w:tc>
          <w:tcPr>
            <w:tcW w:w="1704" w:type="dxa"/>
          </w:tcPr>
          <w:p w:rsidR="00A018FC" w:rsidRPr="00262BF9" w:rsidRDefault="00A018FC" w:rsidP="00262BF9">
            <w:pPr>
              <w:pStyle w:val="ListParagraph"/>
              <w:ind w:left="0"/>
              <w:jc w:val="center"/>
              <w:rPr>
                <w:rFonts w:ascii="Times New Roman" w:hAnsi="Times New Roman" w:cs="Times New Roman"/>
              </w:rPr>
            </w:pPr>
            <w:r w:rsidRPr="00262BF9">
              <w:rPr>
                <w:rFonts w:ascii="Times New Roman" w:hAnsi="Times New Roman" w:cs="Times New Roman"/>
              </w:rPr>
              <w:t>8% (n=3)</w:t>
            </w:r>
          </w:p>
        </w:tc>
        <w:tc>
          <w:tcPr>
            <w:tcW w:w="1993" w:type="dxa"/>
          </w:tcPr>
          <w:p w:rsidR="00A018FC" w:rsidRPr="00262BF9" w:rsidRDefault="00A018FC" w:rsidP="00262BF9">
            <w:pPr>
              <w:pStyle w:val="ListParagraph"/>
              <w:ind w:left="0"/>
              <w:jc w:val="center"/>
              <w:rPr>
                <w:rFonts w:ascii="Times New Roman" w:hAnsi="Times New Roman" w:cs="Times New Roman"/>
              </w:rPr>
            </w:pPr>
          </w:p>
        </w:tc>
      </w:tr>
    </w:tbl>
    <w:p w:rsidR="00A018FC" w:rsidRPr="00262BF9" w:rsidRDefault="00262BF9" w:rsidP="00262BF9">
      <w:pPr>
        <w:spacing w:after="0" w:line="240" w:lineRule="auto"/>
        <w:jc w:val="both"/>
        <w:rPr>
          <w:rFonts w:ascii="Times New Roman" w:hAnsi="Times New Roman" w:cs="Times New Roman"/>
          <w:sz w:val="24"/>
          <w:szCs w:val="24"/>
        </w:rPr>
      </w:pPr>
      <w:r w:rsidRPr="00262BF9">
        <w:rPr>
          <w:rFonts w:ascii="Times New Roman" w:hAnsi="Times New Roman" w:cs="Times New Roman"/>
          <w:i/>
          <w:sz w:val="24"/>
          <w:szCs w:val="24"/>
        </w:rPr>
        <w:t>Nhận xét:</w:t>
      </w:r>
      <w:r>
        <w:rPr>
          <w:rFonts w:ascii="Times New Roman" w:hAnsi="Times New Roman" w:cs="Times New Roman"/>
          <w:sz w:val="24"/>
          <w:szCs w:val="24"/>
        </w:rPr>
        <w:t xml:space="preserve"> </w:t>
      </w:r>
      <w:r w:rsidR="00A018FC" w:rsidRPr="00262BF9">
        <w:rPr>
          <w:rFonts w:ascii="Times New Roman" w:hAnsi="Times New Roman" w:cs="Times New Roman"/>
          <w:sz w:val="24"/>
          <w:szCs w:val="24"/>
        </w:rPr>
        <w:t xml:space="preserve">Phần lớn bệnh nhân gặp ít nhất một tác dụng không mong muốn </w:t>
      </w:r>
      <w:r w:rsidR="00A018FC" w:rsidRPr="00262BF9">
        <w:rPr>
          <w:rFonts w:ascii="Times New Roman" w:hAnsi="Times New Roman" w:cs="Times New Roman"/>
          <w:color w:val="000000" w:themeColor="text1"/>
          <w:sz w:val="24"/>
          <w:szCs w:val="24"/>
        </w:rPr>
        <w:t xml:space="preserve">chiếm tỷ lệ  80,6%. </w:t>
      </w:r>
      <w:r w:rsidR="00A018FC" w:rsidRPr="00262BF9">
        <w:rPr>
          <w:rFonts w:ascii="Times New Roman" w:hAnsi="Times New Roman" w:cs="Times New Roman"/>
          <w:sz w:val="24"/>
          <w:szCs w:val="24"/>
        </w:rPr>
        <w:t xml:space="preserve">Tác dụng không mong muốn thường gặp nhất là hạ bạch cầu và độc tính thần kinh ngoại vi chiếm tỷ lệ lần lượt là 58% và 44%, thiếu máu chiếm 38%, buồn nôn chiếm 42%. Độc tính độ ≥ 3 thường gặp nhất là hạ bạch cầu và thiếu máu chiếm tỷ lệ lần lượt là 25% và 8%. Độc tính dẫn tới giảm liều và dừng điều trị chiếm 17% và 8% tương ứng trong tổng số bệnh nhân. </w:t>
      </w:r>
    </w:p>
    <w:p w:rsidR="007A7BA2" w:rsidRDefault="007A7BA2" w:rsidP="007A7BA2">
      <w:pPr>
        <w:spacing w:after="0" w:line="240" w:lineRule="auto"/>
        <w:jc w:val="both"/>
        <w:rPr>
          <w:rFonts w:ascii="Times New Roman" w:hAnsi="Times New Roman" w:cs="Times New Roman"/>
          <w:b/>
          <w:sz w:val="24"/>
          <w:szCs w:val="24"/>
        </w:rPr>
      </w:pPr>
      <w:r w:rsidRPr="007A7BA2">
        <w:rPr>
          <w:rFonts w:ascii="Times New Roman" w:hAnsi="Times New Roman" w:cs="Times New Roman"/>
          <w:b/>
          <w:sz w:val="24"/>
          <w:szCs w:val="24"/>
        </w:rPr>
        <w:t xml:space="preserve">IV. </w:t>
      </w:r>
      <w:r w:rsidR="004C6B00" w:rsidRPr="007A7BA2">
        <w:rPr>
          <w:rFonts w:ascii="Times New Roman" w:hAnsi="Times New Roman" w:cs="Times New Roman"/>
          <w:b/>
          <w:sz w:val="24"/>
          <w:szCs w:val="24"/>
        </w:rPr>
        <w:t>BÀN LUẬN</w:t>
      </w:r>
    </w:p>
    <w:p w:rsidR="00C96E51" w:rsidRPr="007A7BA2" w:rsidRDefault="00CC2B61" w:rsidP="007A7BA2">
      <w:pPr>
        <w:spacing w:after="0" w:line="240" w:lineRule="auto"/>
        <w:ind w:firstLine="720"/>
        <w:jc w:val="both"/>
        <w:rPr>
          <w:rFonts w:ascii="Times New Roman" w:hAnsi="Times New Roman" w:cs="Times New Roman"/>
          <w:sz w:val="24"/>
          <w:szCs w:val="24"/>
        </w:rPr>
      </w:pPr>
      <w:r w:rsidRPr="007A7BA2">
        <w:rPr>
          <w:rFonts w:ascii="Times New Roman" w:hAnsi="Times New Roman" w:cs="Times New Roman"/>
          <w:sz w:val="24"/>
          <w:szCs w:val="24"/>
        </w:rPr>
        <w:t xml:space="preserve">Trong nghiên cứu của chúng tôi, chúng tôi thấy rằng độ tuổi trung bình là </w:t>
      </w:r>
      <w:r w:rsidR="00364462" w:rsidRPr="007A7BA2">
        <w:rPr>
          <w:rFonts w:ascii="Times New Roman" w:hAnsi="Times New Roman" w:cs="Times New Roman"/>
          <w:color w:val="000000" w:themeColor="text1"/>
          <w:sz w:val="24"/>
          <w:szCs w:val="24"/>
        </w:rPr>
        <w:t>59,</w:t>
      </w:r>
      <w:r w:rsidR="0066453D" w:rsidRPr="007A7BA2">
        <w:rPr>
          <w:rFonts w:ascii="Times New Roman" w:hAnsi="Times New Roman" w:cs="Times New Roman"/>
          <w:color w:val="000000" w:themeColor="text1"/>
          <w:sz w:val="24"/>
          <w:szCs w:val="24"/>
        </w:rPr>
        <w:t>61</w:t>
      </w:r>
      <w:r w:rsidRPr="007A7BA2">
        <w:rPr>
          <w:rFonts w:ascii="Times New Roman" w:hAnsi="Times New Roman" w:cs="Times New Roman"/>
          <w:color w:val="000000" w:themeColor="text1"/>
          <w:sz w:val="24"/>
          <w:szCs w:val="24"/>
        </w:rPr>
        <w:t xml:space="preserve"> </w:t>
      </w:r>
      <w:r w:rsidRPr="007A7BA2">
        <w:rPr>
          <w:rFonts w:ascii="Times New Roman" w:hAnsi="Times New Roman" w:cs="Times New Roman"/>
          <w:sz w:val="24"/>
          <w:szCs w:val="24"/>
        </w:rPr>
        <w:t xml:space="preserve">tuổi. Phần lớn bệnh nhân dưới 65 tuổi, chiếm </w:t>
      </w:r>
      <w:r w:rsidR="0066453D" w:rsidRPr="007A7BA2">
        <w:rPr>
          <w:rFonts w:ascii="Times New Roman" w:hAnsi="Times New Roman" w:cs="Times New Roman"/>
          <w:color w:val="000000" w:themeColor="text1"/>
          <w:sz w:val="24"/>
          <w:szCs w:val="24"/>
        </w:rPr>
        <w:t xml:space="preserve">66,7%. </w:t>
      </w:r>
      <w:r w:rsidRPr="007A7BA2">
        <w:rPr>
          <w:rFonts w:ascii="Times New Roman" w:hAnsi="Times New Roman" w:cs="Times New Roman"/>
          <w:sz w:val="24"/>
          <w:szCs w:val="24"/>
        </w:rPr>
        <w:t xml:space="preserve">Hầu hết bệnh nhân là nam giới </w:t>
      </w:r>
      <w:r w:rsidRPr="007A7BA2">
        <w:rPr>
          <w:rFonts w:ascii="Times New Roman" w:hAnsi="Times New Roman" w:cs="Times New Roman"/>
          <w:color w:val="000000" w:themeColor="text1"/>
          <w:sz w:val="24"/>
          <w:szCs w:val="24"/>
        </w:rPr>
        <w:t>(</w:t>
      </w:r>
      <w:r w:rsidR="0066453D" w:rsidRPr="007A7BA2">
        <w:rPr>
          <w:rFonts w:ascii="Times New Roman" w:hAnsi="Times New Roman" w:cs="Times New Roman"/>
          <w:color w:val="000000" w:themeColor="text1"/>
          <w:sz w:val="24"/>
          <w:szCs w:val="24"/>
        </w:rPr>
        <w:t>77,8</w:t>
      </w:r>
      <w:r w:rsidRPr="007A7BA2">
        <w:rPr>
          <w:rFonts w:ascii="Times New Roman" w:hAnsi="Times New Roman" w:cs="Times New Roman"/>
          <w:color w:val="000000" w:themeColor="text1"/>
          <w:sz w:val="24"/>
          <w:szCs w:val="24"/>
        </w:rPr>
        <w:t xml:space="preserve">%). </w:t>
      </w:r>
      <w:r w:rsidRPr="007A7BA2">
        <w:rPr>
          <w:rFonts w:ascii="Times New Roman" w:hAnsi="Times New Roman" w:cs="Times New Roman"/>
          <w:sz w:val="24"/>
          <w:szCs w:val="24"/>
        </w:rPr>
        <w:t xml:space="preserve">Ung thư biểu mô tuyến là loại mô học chiếm ưu thế </w:t>
      </w:r>
      <w:r w:rsidRPr="007A7BA2">
        <w:rPr>
          <w:rFonts w:ascii="Times New Roman" w:hAnsi="Times New Roman" w:cs="Times New Roman"/>
          <w:color w:val="000000" w:themeColor="text1"/>
          <w:sz w:val="24"/>
          <w:szCs w:val="24"/>
        </w:rPr>
        <w:t>nhất (ở</w:t>
      </w:r>
      <w:r w:rsidR="0066453D" w:rsidRPr="007A7BA2">
        <w:rPr>
          <w:rFonts w:ascii="Times New Roman" w:hAnsi="Times New Roman" w:cs="Times New Roman"/>
          <w:color w:val="000000" w:themeColor="text1"/>
          <w:sz w:val="24"/>
          <w:szCs w:val="24"/>
        </w:rPr>
        <w:t xml:space="preserve"> 91,7</w:t>
      </w:r>
      <w:r w:rsidRPr="007A7BA2">
        <w:rPr>
          <w:rFonts w:ascii="Times New Roman" w:hAnsi="Times New Roman" w:cs="Times New Roman"/>
          <w:color w:val="000000" w:themeColor="text1"/>
          <w:sz w:val="24"/>
          <w:szCs w:val="24"/>
        </w:rPr>
        <w:t xml:space="preserve">% </w:t>
      </w:r>
      <w:r w:rsidRPr="007A7BA2">
        <w:rPr>
          <w:rFonts w:ascii="Times New Roman" w:hAnsi="Times New Roman" w:cs="Times New Roman"/>
          <w:sz w:val="24"/>
          <w:szCs w:val="24"/>
        </w:rPr>
        <w:t xml:space="preserve">bệnh nhân). </w:t>
      </w:r>
      <w:r w:rsidR="0066453D" w:rsidRPr="007A7BA2">
        <w:rPr>
          <w:rFonts w:ascii="Times New Roman" w:hAnsi="Times New Roman" w:cs="Times New Roman"/>
          <w:sz w:val="24"/>
          <w:szCs w:val="24"/>
        </w:rPr>
        <w:t xml:space="preserve">Xương, não, </w:t>
      </w:r>
      <w:r w:rsidRPr="007A7BA2">
        <w:rPr>
          <w:rFonts w:ascii="Times New Roman" w:hAnsi="Times New Roman" w:cs="Times New Roman"/>
          <w:sz w:val="24"/>
          <w:szCs w:val="24"/>
        </w:rPr>
        <w:t>màng phổi là những vị trí di căn phổ biến nhất, chiếm lần lượ</w:t>
      </w:r>
      <w:r w:rsidR="0066453D" w:rsidRPr="007A7BA2">
        <w:rPr>
          <w:rFonts w:ascii="Times New Roman" w:hAnsi="Times New Roman" w:cs="Times New Roman"/>
          <w:sz w:val="24"/>
          <w:szCs w:val="24"/>
        </w:rPr>
        <w:t>t 50%, 36,1</w:t>
      </w:r>
      <w:r w:rsidRPr="007A7BA2">
        <w:rPr>
          <w:rFonts w:ascii="Times New Roman" w:hAnsi="Times New Roman" w:cs="Times New Roman"/>
          <w:sz w:val="24"/>
          <w:szCs w:val="24"/>
        </w:rPr>
        <w:t>%</w:t>
      </w:r>
      <w:r w:rsidR="0066453D" w:rsidRPr="007A7BA2">
        <w:rPr>
          <w:rFonts w:ascii="Times New Roman" w:hAnsi="Times New Roman" w:cs="Times New Roman"/>
          <w:sz w:val="24"/>
          <w:szCs w:val="24"/>
        </w:rPr>
        <w:t xml:space="preserve"> và 33,3%. </w:t>
      </w:r>
      <w:r w:rsidRPr="007A7BA2">
        <w:rPr>
          <w:rFonts w:ascii="Times New Roman" w:hAnsi="Times New Roman" w:cs="Times New Roman"/>
          <w:sz w:val="24"/>
          <w:szCs w:val="24"/>
        </w:rPr>
        <w:t xml:space="preserve"> Pemetrexed</w:t>
      </w:r>
      <w:r w:rsidR="007A7BA2">
        <w:rPr>
          <w:rFonts w:ascii="Times New Roman" w:hAnsi="Times New Roman" w:cs="Times New Roman"/>
          <w:sz w:val="24"/>
          <w:szCs w:val="24"/>
        </w:rPr>
        <w:t xml:space="preserve"> </w:t>
      </w:r>
      <w:r w:rsidRPr="007A7BA2">
        <w:rPr>
          <w:rFonts w:ascii="Times New Roman" w:hAnsi="Times New Roman" w:cs="Times New Roman"/>
          <w:sz w:val="24"/>
          <w:szCs w:val="24"/>
        </w:rPr>
        <w:t>-</w:t>
      </w:r>
      <w:r w:rsidR="007A7BA2">
        <w:rPr>
          <w:rFonts w:ascii="Times New Roman" w:hAnsi="Times New Roman" w:cs="Times New Roman"/>
          <w:sz w:val="24"/>
          <w:szCs w:val="24"/>
        </w:rPr>
        <w:t xml:space="preserve"> </w:t>
      </w:r>
      <w:r w:rsidRPr="007A7BA2">
        <w:rPr>
          <w:rFonts w:ascii="Times New Roman" w:hAnsi="Times New Roman" w:cs="Times New Roman"/>
          <w:sz w:val="24"/>
          <w:szCs w:val="24"/>
        </w:rPr>
        <w:t>carboplatin là phác đồ hóa trị phổ biến nhất, đã được sử dụng cho hơn một nửa số bệnh nhân và gần một phần ba số bệnh nhân được điều trị tới 6 chu kỳ.</w:t>
      </w:r>
      <w:r w:rsidR="007A7BA2">
        <w:rPr>
          <w:rFonts w:ascii="Times New Roman" w:hAnsi="Times New Roman" w:cs="Times New Roman"/>
          <w:sz w:val="24"/>
          <w:szCs w:val="24"/>
        </w:rPr>
        <w:t xml:space="preserve"> </w:t>
      </w:r>
      <w:r w:rsidRPr="007A7BA2">
        <w:rPr>
          <w:rFonts w:ascii="Times New Roman" w:hAnsi="Times New Roman" w:cs="Times New Roman"/>
          <w:sz w:val="24"/>
          <w:szCs w:val="24"/>
        </w:rPr>
        <w:t>Các đặc điểm của quần thể của chúng tôi có một số điểm tương đồng và</w:t>
      </w:r>
      <w:r w:rsidR="007A7BA2">
        <w:rPr>
          <w:rFonts w:ascii="Times New Roman" w:hAnsi="Times New Roman" w:cs="Times New Roman"/>
          <w:sz w:val="24"/>
          <w:szCs w:val="24"/>
        </w:rPr>
        <w:t xml:space="preserve"> </w:t>
      </w:r>
      <w:r w:rsidRPr="007A7BA2">
        <w:rPr>
          <w:rFonts w:ascii="Times New Roman" w:hAnsi="Times New Roman" w:cs="Times New Roman"/>
          <w:sz w:val="24"/>
          <w:szCs w:val="24"/>
        </w:rPr>
        <w:t xml:space="preserve">khác biệt so với các nghiên cứu khác. </w:t>
      </w:r>
      <w:r w:rsidR="007A7BA2">
        <w:rPr>
          <w:rFonts w:ascii="Times New Roman" w:hAnsi="Times New Roman" w:cs="Times New Roman"/>
          <w:sz w:val="24"/>
          <w:szCs w:val="24"/>
        </w:rPr>
        <w:t>H</w:t>
      </w:r>
      <w:r w:rsidRPr="007A7BA2">
        <w:rPr>
          <w:rFonts w:ascii="Times New Roman" w:hAnsi="Times New Roman" w:cs="Times New Roman"/>
          <w:sz w:val="24"/>
          <w:szCs w:val="24"/>
        </w:rPr>
        <w:t xml:space="preserve">ầu hết các nghiên cứu cho thấy những bệnh nhân có </w:t>
      </w:r>
      <w:r w:rsidR="007A7BA2">
        <w:rPr>
          <w:rFonts w:ascii="Times New Roman" w:hAnsi="Times New Roman" w:cs="Times New Roman"/>
          <w:sz w:val="24"/>
          <w:szCs w:val="24"/>
        </w:rPr>
        <w:t>EGFR</w:t>
      </w:r>
      <w:r w:rsidRPr="007A7BA2">
        <w:rPr>
          <w:rFonts w:ascii="Times New Roman" w:hAnsi="Times New Roman" w:cs="Times New Roman"/>
          <w:sz w:val="24"/>
          <w:szCs w:val="24"/>
        </w:rPr>
        <w:t xml:space="preserve">ex20ins đều ở độ tuổi 60 trở xuống. Caicun và các đồng nghiệp của ông phát hiện </w:t>
      </w:r>
      <w:r w:rsidRPr="007A7BA2">
        <w:rPr>
          <w:rFonts w:ascii="Times New Roman" w:hAnsi="Times New Roman" w:cs="Times New Roman"/>
          <w:sz w:val="24"/>
          <w:szCs w:val="24"/>
        </w:rPr>
        <w:lastRenderedPageBreak/>
        <w:t xml:space="preserve">ra rằng độ tuổi trung bình là 61, với phần lớn bệnh nhân dưới 65 tuổi (63%). </w:t>
      </w:r>
      <w:r w:rsidR="00C96E51" w:rsidRPr="007A7BA2">
        <w:rPr>
          <w:rFonts w:ascii="Times New Roman" w:hAnsi="Times New Roman" w:cs="Times New Roman"/>
          <w:sz w:val="24"/>
          <w:szCs w:val="24"/>
        </w:rPr>
        <w:fldChar w:fldCharType="begin"/>
      </w:r>
      <w:r w:rsidR="00C96E51" w:rsidRPr="007A7BA2">
        <w:rPr>
          <w:rFonts w:ascii="Times New Roman" w:hAnsi="Times New Roman" w:cs="Times New Roman"/>
          <w:sz w:val="24"/>
          <w:szCs w:val="24"/>
        </w:rPr>
        <w:instrText xml:space="preserve"> ADDIN ZOTERO_ITEM CSL_CITATION {"citationID":"l0JlaEKC","properties":{"formattedCitation":"\\super 9\\nosupersub{}","plainCitation":"9","noteIndex":0},"citationItems":[{"id":249,"uris":["http://zotero.org/users/12066239/items/KDR6K664"],"itemData":{"id":249,"type":"webpage","title":"Amivantamab plus Chemotherapy in NSCLC with EGFR Exon 20 Insertions | NEJM","URL":"https://www.nejm.org/doi/full/10.1056/NEJMoa2306441","accessed":{"date-parts":[["2023",11,24]]}}}],"schema":"https://github.com/citation-style-language/schema/raw/master/csl-citation.json"} </w:instrText>
      </w:r>
      <w:r w:rsidR="00C96E51" w:rsidRPr="007A7BA2">
        <w:rPr>
          <w:rFonts w:ascii="Times New Roman" w:hAnsi="Times New Roman" w:cs="Times New Roman"/>
          <w:sz w:val="24"/>
          <w:szCs w:val="24"/>
        </w:rPr>
        <w:fldChar w:fldCharType="separate"/>
      </w:r>
      <w:r w:rsidR="00C96E51" w:rsidRPr="007A7BA2">
        <w:rPr>
          <w:rFonts w:ascii="Times New Roman" w:hAnsi="Times New Roman" w:cs="Times New Roman"/>
          <w:sz w:val="24"/>
          <w:szCs w:val="24"/>
          <w:vertAlign w:val="superscript"/>
        </w:rPr>
        <w:t>9</w:t>
      </w:r>
      <w:r w:rsidR="00C96E51" w:rsidRPr="007A7BA2">
        <w:rPr>
          <w:rFonts w:ascii="Times New Roman" w:hAnsi="Times New Roman" w:cs="Times New Roman"/>
          <w:sz w:val="24"/>
          <w:szCs w:val="24"/>
        </w:rPr>
        <w:fldChar w:fldCharType="end"/>
      </w:r>
      <w:r w:rsidRPr="007A7BA2">
        <w:rPr>
          <w:rFonts w:ascii="Times New Roman" w:hAnsi="Times New Roman" w:cs="Times New Roman"/>
          <w:sz w:val="24"/>
          <w:szCs w:val="24"/>
        </w:rPr>
        <w:t xml:space="preserve"> Tương tự như vậy, trong nghiên cứu của Morita, độ tuổ</w:t>
      </w:r>
      <w:r w:rsidR="00C96E51" w:rsidRPr="007A7BA2">
        <w:rPr>
          <w:rFonts w:ascii="Times New Roman" w:hAnsi="Times New Roman" w:cs="Times New Roman"/>
          <w:sz w:val="24"/>
          <w:szCs w:val="24"/>
        </w:rPr>
        <w:t xml:space="preserve">i trung bình là 60. </w:t>
      </w:r>
      <w:r w:rsidR="00C96E51" w:rsidRPr="007A7BA2">
        <w:rPr>
          <w:rFonts w:ascii="Times New Roman" w:hAnsi="Times New Roman" w:cs="Times New Roman"/>
          <w:sz w:val="24"/>
          <w:szCs w:val="24"/>
        </w:rPr>
        <w:fldChar w:fldCharType="begin"/>
      </w:r>
      <w:r w:rsidR="00C96E51" w:rsidRPr="007A7BA2">
        <w:rPr>
          <w:rFonts w:ascii="Times New Roman" w:hAnsi="Times New Roman" w:cs="Times New Roman"/>
          <w:sz w:val="24"/>
          <w:szCs w:val="24"/>
        </w:rPr>
        <w:instrText xml:space="preserve"> ADDIN ZOTERO_ITEM CSL_CITATION {"citationID":"N8xTjrso","properties":{"formattedCitation":"\\super 10\\nosupersub{}","plainCitation":"10","noteIndex":0},"citationItems":[{"id":173,"uris":["http://zotero.org/users/12066239/items/XNHT8D4L"],"itemData":{"id":173,"type":"article-journal","abstract":"Epidermal growth factor receptor (EGFR) exon 20 insertion mutations (Exon20ins) account for 4–12% of all EGFR mutations in non-small cell lung cancer (NSCLC) patients. Data on the differences in clinical characteristics between patients with Exon20ins and major mutations (M-mut) such as exon 19 deletion and L858R are limited. We retrospectively reviewed advanced NSCLC patients with EGFR mutations, who were treated with systemic therapy between January 2011 and December 2019. We identified 23 patients with Exon20ins and 534 patients with M-mut. In Exon20ins patients, the median age was 60 (range 27–88) years, and females and never-smokers were predominant. Clinical characteristics were similar in the two groups. In Exon20ins patients, 17 patients received platinum doublet as first-line therapy, and the overall response rate (ORR) and median progression-free survival (mPFS) were 11.8% and 8.9 months. Additionally, seven patients received conventional EGFR-tyrosine kinase inhibitors (TKIs), and eight patients anti-PD-1 antibodies in any-line therapy. ORR and mPFS of EGFR-TKIs and anti-PD-1 antibodies were 0%, 2.2 months and 25%, 3.1 months, respectively. Overall survival was significantly shorter in Exon20ins patients than in M-mut patients (29.3 vs. 43.4 months, p = 0.04). The clinical outcomes in Exon20ins patients were not satisfactory compared to M-mut patients.","container-title":"Scientific Reports","DOI":"10.1038/s41598-021-98275-3","ISSN":"2045-2322","journalAbbreviation":"Sci Rep","note":"PMID: 34548567\nPMCID: PMC8455549","page":"18762","source":"PubMed Central","title":"Clinical characteristics of advanced non-small cell lung cancer patients with EGFR exon 20 insertions","volume":"11","author":[{"family":"Morita","given":"Chie"},{"family":"Yoshida","given":"Tatsuya"},{"family":"Shirasawa","given":"Masayuki"},{"family":"Masuda","given":"Ken"},{"family":"Matsumoto","given":"Yuji"},{"family":"Shinno","given":"Yuki"},{"family":"Yagishita","given":"Shigehiro"},{"family":"Okuma","given":"Yusuke"},{"family":"Goto","given":"Yasushi"},{"family":"Horinouchi","given":"Hidehito"},{"family":"Yamamoto","given":"Noboru"},{"family":"Motoi","given":"Noriko"},{"family":"Yatabe","given":"Yasushi"},{"family":"Ohe","given":"Yuichiro"}],"issued":{"date-parts":[["2021",9,21]]}}}],"schema":"https://github.com/citation-style-language/schema/raw/master/csl-citation.json"} </w:instrText>
      </w:r>
      <w:r w:rsidR="00C96E51" w:rsidRPr="007A7BA2">
        <w:rPr>
          <w:rFonts w:ascii="Times New Roman" w:hAnsi="Times New Roman" w:cs="Times New Roman"/>
          <w:sz w:val="24"/>
          <w:szCs w:val="24"/>
        </w:rPr>
        <w:fldChar w:fldCharType="separate"/>
      </w:r>
      <w:r w:rsidR="00C96E51" w:rsidRPr="007A7BA2">
        <w:rPr>
          <w:rFonts w:ascii="Times New Roman" w:hAnsi="Times New Roman" w:cs="Times New Roman"/>
          <w:sz w:val="24"/>
          <w:szCs w:val="24"/>
          <w:vertAlign w:val="superscript"/>
        </w:rPr>
        <w:t>10</w:t>
      </w:r>
      <w:r w:rsidR="00C96E51" w:rsidRPr="007A7BA2">
        <w:rPr>
          <w:rFonts w:ascii="Times New Roman" w:hAnsi="Times New Roman" w:cs="Times New Roman"/>
          <w:sz w:val="24"/>
          <w:szCs w:val="24"/>
        </w:rPr>
        <w:fldChar w:fldCharType="end"/>
      </w:r>
      <w:r w:rsidR="00C96E51" w:rsidRPr="007A7BA2">
        <w:rPr>
          <w:rFonts w:ascii="Times New Roman" w:hAnsi="Times New Roman" w:cs="Times New Roman"/>
          <w:sz w:val="24"/>
          <w:szCs w:val="24"/>
        </w:rPr>
        <w:t xml:space="preserve"> </w:t>
      </w:r>
      <w:r w:rsidRPr="007A7BA2">
        <w:rPr>
          <w:rFonts w:ascii="Times New Roman" w:hAnsi="Times New Roman" w:cs="Times New Roman"/>
          <w:sz w:val="24"/>
          <w:szCs w:val="24"/>
        </w:rPr>
        <w:t xml:space="preserve"> Trong nghiên cứu của Shah, con số này cũng là 60 tuổ</w:t>
      </w:r>
      <w:r w:rsidR="00C96E51" w:rsidRPr="007A7BA2">
        <w:rPr>
          <w:rFonts w:ascii="Times New Roman" w:hAnsi="Times New Roman" w:cs="Times New Roman"/>
          <w:sz w:val="24"/>
          <w:szCs w:val="24"/>
        </w:rPr>
        <w:t>i.</w:t>
      </w:r>
      <w:r w:rsidR="00C96E51" w:rsidRPr="007A7BA2">
        <w:rPr>
          <w:rFonts w:ascii="Times New Roman" w:hAnsi="Times New Roman" w:cs="Times New Roman"/>
          <w:sz w:val="24"/>
          <w:szCs w:val="24"/>
        </w:rPr>
        <w:fldChar w:fldCharType="begin"/>
      </w:r>
      <w:r w:rsidR="00C96E51" w:rsidRPr="007A7BA2">
        <w:rPr>
          <w:rFonts w:ascii="Times New Roman" w:hAnsi="Times New Roman" w:cs="Times New Roman"/>
          <w:sz w:val="24"/>
          <w:szCs w:val="24"/>
        </w:rPr>
        <w:instrText xml:space="preserve"> ADDIN ZOTERO_ITEM CSL_CITATION {"citationID":"eOhch31R","properties":{"formattedCitation":"\\super 11\\nosupersub{}","plainCitation":"11","noteIndex":0},"citationItems":[{"id":248,"uris":["http://zotero.org/users/12066239/items/ZLARTIHS"],"itemData":{"id":248,"type":"article-journal","abstract":"INTRODUCTION: In classical EGFR mutant non-small-cell lung cancer (NSCLC), EGFR tyrosine kinase inhibitor (TKI) therapy yields better outcomes than platinum-based chemotherapy. However, EGFR exon 20 insertion (ex20ins) NSCLC is relatively resistant to currently available EGFR TKIs. Though platinum-based chemotherapy is the frontline standard of care for EGFR ex20ins NSCLC, its efficacy is not fully described.\nSTUDY DESIGN: A retrospective, single-center, case series METHODS: Patients were identified through an electronic research database at a single institution and included if they had advanced EGFR ex20ins NSCLC, received platinum-based chemotherapy for metastatic disease, and had scans evaluable for response. Each patient's demographics, tumor characteristics, and clinical course were recorded. Treatment response was evaluated using RECIST v1.1 criteria, and the PFS was calculated by the Kaplan-Meier method.\nRESULTS: Among 27 patients identified with EGFR ex20ins NSCLC at our institution, 18 (67%) received platinum-based chemotherapy for metastatic disease and had scans evaluable for response. These patients received platinum-based chemotherapy in the first-line (N = 17, 94%) and second-line settings (N = 1, 6%). The objective response rate (ORR) to platinum-based chemotherapy was 39% (7 of 18 patients; 95% confidence interval [CI] 16-61). The median PFS with platinum-based chemotherapy was 7.1 months (95% CI, 6.3 -13.7), and the median overall survival was 3.2 years (95% CI, 1.92 - NR).\nCONCLUSIONS: The efficacy of platinum-based chemotherapy in EGFR ex20ins NSCLC is similar to that expected for TKI sensitive EGFR mutant NSCLC. Novel agents designed to specifically target ex20ins mutant EGFR should additionally improve outcomes.","container-title":"Clinical Lung Cancer","DOI":"10.1016/j.cllc.2021.07.001","ISSN":"1938-0690","issue":"2","journalAbbreviation":"Clin Lung Cancer","language":"eng","note":"PMID: 34391686\nPMCID: PMC8766618","page":"e148-e153","source":"PubMed","title":"EGFR exon 20 Insertion NSCLC and Response to Platinum-Based Chemotherapy","volume":"23","author":[{"family":"Shah","given":"Manan P."},{"family":"Aredo","given":"Jacqueline V."},{"family":"Padda","given":"Sukhmani K."},{"family":"Ramchandran","given":"Kavitha J."},{"family":"Wakelee","given":"Heather A."},{"family":"Das","given":"Millie S."},{"family":"Neal","given":"Joel W."}],"issued":{"date-parts":[["2022",3]]}}}],"schema":"https://github.com/citation-style-language/schema/raw/master/csl-citation.json"} </w:instrText>
      </w:r>
      <w:r w:rsidR="00C96E51" w:rsidRPr="007A7BA2">
        <w:rPr>
          <w:rFonts w:ascii="Times New Roman" w:hAnsi="Times New Roman" w:cs="Times New Roman"/>
          <w:sz w:val="24"/>
          <w:szCs w:val="24"/>
        </w:rPr>
        <w:fldChar w:fldCharType="separate"/>
      </w:r>
      <w:r w:rsidR="00C96E51" w:rsidRPr="007A7BA2">
        <w:rPr>
          <w:rFonts w:ascii="Times New Roman" w:hAnsi="Times New Roman" w:cs="Times New Roman"/>
          <w:sz w:val="24"/>
          <w:szCs w:val="24"/>
          <w:vertAlign w:val="superscript"/>
        </w:rPr>
        <w:t>11</w:t>
      </w:r>
      <w:r w:rsidR="00C96E51" w:rsidRPr="007A7BA2">
        <w:rPr>
          <w:rFonts w:ascii="Times New Roman" w:hAnsi="Times New Roman" w:cs="Times New Roman"/>
          <w:sz w:val="24"/>
          <w:szCs w:val="24"/>
        </w:rPr>
        <w:fldChar w:fldCharType="end"/>
      </w:r>
      <w:r w:rsidRPr="007A7BA2">
        <w:rPr>
          <w:rFonts w:ascii="Times New Roman" w:hAnsi="Times New Roman" w:cs="Times New Roman"/>
          <w:sz w:val="24"/>
          <w:szCs w:val="24"/>
        </w:rPr>
        <w:t xml:space="preserve"> Rõ ràng, </w:t>
      </w:r>
      <w:r w:rsidR="007A7BA2">
        <w:rPr>
          <w:rFonts w:ascii="Times New Roman" w:hAnsi="Times New Roman" w:cs="Times New Roman"/>
          <w:sz w:val="24"/>
          <w:szCs w:val="24"/>
        </w:rPr>
        <w:t>EGFR</w:t>
      </w:r>
      <w:r w:rsidRPr="007A7BA2">
        <w:rPr>
          <w:rFonts w:ascii="Times New Roman" w:hAnsi="Times New Roman" w:cs="Times New Roman"/>
          <w:sz w:val="24"/>
          <w:szCs w:val="24"/>
        </w:rPr>
        <w:t>ex20in</w:t>
      </w:r>
      <w:r w:rsidR="003B11DF">
        <w:rPr>
          <w:rFonts w:ascii="Times New Roman" w:hAnsi="Times New Roman" w:cs="Times New Roman"/>
          <w:sz w:val="24"/>
          <w:szCs w:val="24"/>
        </w:rPr>
        <w:t>s</w:t>
      </w:r>
      <w:r w:rsidRPr="007A7BA2">
        <w:rPr>
          <w:rFonts w:ascii="Times New Roman" w:hAnsi="Times New Roman" w:cs="Times New Roman"/>
          <w:sz w:val="24"/>
          <w:szCs w:val="24"/>
        </w:rPr>
        <w:t xml:space="preserve"> dường như xảy ra ở</w:t>
      </w:r>
      <w:r w:rsidR="00C96E51" w:rsidRPr="007A7BA2">
        <w:rPr>
          <w:rFonts w:ascii="Times New Roman" w:hAnsi="Times New Roman" w:cs="Times New Roman"/>
          <w:sz w:val="24"/>
          <w:szCs w:val="24"/>
        </w:rPr>
        <w:t xml:space="preserve"> </w:t>
      </w:r>
      <w:r w:rsidRPr="007A7BA2">
        <w:rPr>
          <w:rFonts w:ascii="Times New Roman" w:hAnsi="Times New Roman" w:cs="Times New Roman"/>
          <w:sz w:val="24"/>
          <w:szCs w:val="24"/>
        </w:rPr>
        <w:t>những nhóm dân số trẻ hơn. Tuy nhiên, tỷ lệ giới tính củ</w:t>
      </w:r>
      <w:r w:rsidR="00C96E51" w:rsidRPr="007A7BA2">
        <w:rPr>
          <w:rFonts w:ascii="Times New Roman" w:hAnsi="Times New Roman" w:cs="Times New Roman"/>
          <w:sz w:val="24"/>
          <w:szCs w:val="24"/>
        </w:rPr>
        <w:t xml:space="preserve">a chúng tôi đã </w:t>
      </w:r>
      <w:r w:rsidRPr="007A7BA2">
        <w:rPr>
          <w:rFonts w:ascii="Times New Roman" w:hAnsi="Times New Roman" w:cs="Times New Roman"/>
          <w:sz w:val="24"/>
          <w:szCs w:val="24"/>
        </w:rPr>
        <w:t>đảo ngược, với nam giới chiếm ưu thế hơn nữ giới. Điều này khác với các</w:t>
      </w:r>
      <w:r w:rsidR="00C96E51" w:rsidRPr="007A7BA2">
        <w:rPr>
          <w:rFonts w:ascii="Times New Roman" w:hAnsi="Times New Roman" w:cs="Times New Roman"/>
          <w:sz w:val="24"/>
          <w:szCs w:val="24"/>
        </w:rPr>
        <w:t xml:space="preserve"> </w:t>
      </w:r>
      <w:r w:rsidRPr="007A7BA2">
        <w:rPr>
          <w:rFonts w:ascii="Times New Roman" w:hAnsi="Times New Roman" w:cs="Times New Roman"/>
          <w:sz w:val="24"/>
          <w:szCs w:val="24"/>
        </w:rPr>
        <w:t>nghiên cứu khác khi tất cả đều phát hiện ra rằng ex20in</w:t>
      </w:r>
      <w:r w:rsidR="00E22DA5">
        <w:rPr>
          <w:rFonts w:ascii="Times New Roman" w:hAnsi="Times New Roman" w:cs="Times New Roman"/>
          <w:sz w:val="24"/>
          <w:szCs w:val="24"/>
        </w:rPr>
        <w:t>s</w:t>
      </w:r>
      <w:r w:rsidRPr="007A7BA2">
        <w:rPr>
          <w:rFonts w:ascii="Times New Roman" w:hAnsi="Times New Roman" w:cs="Times New Roman"/>
          <w:sz w:val="24"/>
          <w:szCs w:val="24"/>
        </w:rPr>
        <w:t xml:space="preserve"> thường thấy ở phụ nữ</w:t>
      </w:r>
      <w:r w:rsidR="00C96E51" w:rsidRPr="007A7BA2">
        <w:rPr>
          <w:rFonts w:ascii="Times New Roman" w:hAnsi="Times New Roman" w:cs="Times New Roman"/>
          <w:sz w:val="24"/>
          <w:szCs w:val="24"/>
        </w:rPr>
        <w:t xml:space="preserve">. </w:t>
      </w:r>
      <w:r w:rsidR="00C96E51" w:rsidRPr="007A7BA2">
        <w:rPr>
          <w:rFonts w:ascii="Times New Roman" w:hAnsi="Times New Roman" w:cs="Times New Roman"/>
          <w:sz w:val="24"/>
          <w:szCs w:val="24"/>
        </w:rPr>
        <w:fldChar w:fldCharType="begin"/>
      </w:r>
      <w:r w:rsidR="00C96E51" w:rsidRPr="007A7BA2">
        <w:rPr>
          <w:rFonts w:ascii="Times New Roman" w:hAnsi="Times New Roman" w:cs="Times New Roman"/>
          <w:sz w:val="24"/>
          <w:szCs w:val="24"/>
        </w:rPr>
        <w:instrText xml:space="preserve"> ADDIN ZOTERO_ITEM CSL_CITATION {"citationID":"480KDHjG","properties":{"formattedCitation":"\\super 9\\nosupersub{}","plainCitation":"9","noteIndex":0},"citationItems":[{"id":249,"uris":["http://zotero.org/users/12066239/items/KDR6K664"],"itemData":{"id":249,"type":"webpage","title":"Amivantamab plus Chemotherapy in NSCLC with EGFR Exon 20 Insertions | NEJM","URL":"https://www.nejm.org/doi/full/10.1056/NEJMoa2306441","accessed":{"date-parts":[["2023",11,24]]}}}],"schema":"https://github.com/citation-style-language/schema/raw/master/csl-citation.json"} </w:instrText>
      </w:r>
      <w:r w:rsidR="00C96E51" w:rsidRPr="007A7BA2">
        <w:rPr>
          <w:rFonts w:ascii="Times New Roman" w:hAnsi="Times New Roman" w:cs="Times New Roman"/>
          <w:sz w:val="24"/>
          <w:szCs w:val="24"/>
        </w:rPr>
        <w:fldChar w:fldCharType="separate"/>
      </w:r>
      <w:r w:rsidR="00C96E51" w:rsidRPr="007A7BA2">
        <w:rPr>
          <w:rFonts w:ascii="Times New Roman" w:hAnsi="Times New Roman" w:cs="Times New Roman"/>
          <w:sz w:val="24"/>
          <w:szCs w:val="24"/>
          <w:vertAlign w:val="superscript"/>
        </w:rPr>
        <w:t>9</w:t>
      </w:r>
      <w:r w:rsidR="00C96E51" w:rsidRPr="007A7BA2">
        <w:rPr>
          <w:rFonts w:ascii="Times New Roman" w:hAnsi="Times New Roman" w:cs="Times New Roman"/>
          <w:sz w:val="24"/>
          <w:szCs w:val="24"/>
        </w:rPr>
        <w:fldChar w:fldCharType="end"/>
      </w:r>
      <w:r w:rsidR="00C96E51" w:rsidRPr="007A7BA2">
        <w:rPr>
          <w:rFonts w:ascii="Times New Roman" w:hAnsi="Times New Roman" w:cs="Times New Roman"/>
          <w:sz w:val="24"/>
          <w:szCs w:val="24"/>
          <w:vertAlign w:val="superscript"/>
        </w:rPr>
        <w:t xml:space="preserve">, </w:t>
      </w:r>
      <w:r w:rsidR="00C96E51" w:rsidRPr="007A7BA2">
        <w:rPr>
          <w:rFonts w:ascii="Times New Roman" w:hAnsi="Times New Roman" w:cs="Times New Roman"/>
          <w:sz w:val="24"/>
          <w:szCs w:val="24"/>
          <w:vertAlign w:val="superscript"/>
        </w:rPr>
        <w:fldChar w:fldCharType="begin"/>
      </w:r>
      <w:r w:rsidR="00C96E51" w:rsidRPr="007A7BA2">
        <w:rPr>
          <w:rFonts w:ascii="Times New Roman" w:hAnsi="Times New Roman" w:cs="Times New Roman"/>
          <w:sz w:val="24"/>
          <w:szCs w:val="24"/>
          <w:vertAlign w:val="superscript"/>
        </w:rPr>
        <w:instrText xml:space="preserve"> ADDIN ZOTERO_ITEM CSL_CITATION {"citationID":"4VGYUu8b","properties":{"formattedCitation":"\\super 10\\nosupersub{}","plainCitation":"10","noteIndex":0},"citationItems":[{"id":173,"uris":["http://zotero.org/users/12066239/items/XNHT8D4L"],"itemData":{"id":173,"type":"article-journal","abstract":"Epidermal growth factor receptor (EGFR) exon 20 insertion mutations (Exon20ins) account for 4–12% of all EGFR mutations in non-small cell lung cancer (NSCLC) patients. Data on the differences in clinical characteristics between patients with Exon20ins and major mutations (M-mut) such as exon 19 deletion and L858R are limited. We retrospectively reviewed advanced NSCLC patients with EGFR mutations, who were treated with systemic therapy between January 2011 and December 2019. We identified 23 patients with Exon20ins and 534 patients with M-mut. In Exon20ins patients, the median age was 60 (range 27–88) years, and females and never-smokers were predominant. Clinical characteristics were similar in the two groups. In Exon20ins patients, 17 patients received platinum doublet as first-line therapy, and the overall response rate (ORR) and median progression-free survival (mPFS) were 11.8% and 8.9 months. Additionally, seven patients received conventional EGFR-tyrosine kinase inhibitors (TKIs), and eight patients anti-PD-1 antibodies in any-line therapy. ORR and mPFS of EGFR-TKIs and anti-PD-1 antibodies were 0%, 2.2 months and 25%, 3.1 months, respectively. Overall survival was significantly shorter in Exon20ins patients than in M-mut patients (29.3 vs. 43.4 months, p = 0.04). The clinical outcomes in Exon20ins patients were not satisfactory compared to M-mut patients.","container-title":"Scientific Reports","DOI":"10.1038/s41598-021-98275-3","ISSN":"2045-2322","journalAbbreviation":"Sci Rep","note":"PMID: 34548567\nPMCID: PMC8455549","page":"18762","source":"PubMed Central","title":"Clinical characteristics of advanced non-small cell lung cancer patients with EGFR exon 20 insertions","volume":"11","author":[{"family":"Morita","given":"Chie"},{"family":"Yoshida","given":"Tatsuya"},{"family":"Shirasawa","given":"Masayuki"},{"family":"Masuda","given":"Ken"},{"family":"Matsumoto","given":"Yuji"},{"family":"Shinno","given":"Yuki"},{"family":"Yagishita","given":"Shigehiro"},{"family":"Okuma","given":"Yusuke"},{"family":"Goto","given":"Yasushi"},{"family":"Horinouchi","given":"Hidehito"},{"family":"Yamamoto","given":"Noboru"},{"family":"Motoi","given":"Noriko"},{"family":"Yatabe","given":"Yasushi"},{"family":"Ohe","given":"Yuichiro"}],"issued":{"date-parts":[["2021",9,21]]}}}],"schema":"https://github.com/citation-style-language/schema/raw/master/csl-citation.json"} </w:instrText>
      </w:r>
      <w:r w:rsidR="00C96E51" w:rsidRPr="007A7BA2">
        <w:rPr>
          <w:rFonts w:ascii="Times New Roman" w:hAnsi="Times New Roman" w:cs="Times New Roman"/>
          <w:sz w:val="24"/>
          <w:szCs w:val="24"/>
          <w:vertAlign w:val="superscript"/>
        </w:rPr>
        <w:fldChar w:fldCharType="separate"/>
      </w:r>
      <w:r w:rsidR="00C96E51" w:rsidRPr="007A7BA2">
        <w:rPr>
          <w:rFonts w:ascii="Times New Roman" w:hAnsi="Times New Roman" w:cs="Times New Roman"/>
          <w:sz w:val="24"/>
          <w:szCs w:val="24"/>
          <w:vertAlign w:val="superscript"/>
        </w:rPr>
        <w:t>10</w:t>
      </w:r>
      <w:r w:rsidR="00C96E51" w:rsidRPr="007A7BA2">
        <w:rPr>
          <w:rFonts w:ascii="Times New Roman" w:hAnsi="Times New Roman" w:cs="Times New Roman"/>
          <w:sz w:val="24"/>
          <w:szCs w:val="24"/>
          <w:vertAlign w:val="superscript"/>
        </w:rPr>
        <w:fldChar w:fldCharType="end"/>
      </w:r>
      <w:r w:rsidR="00C96E51" w:rsidRPr="007A7BA2">
        <w:rPr>
          <w:rFonts w:ascii="Times New Roman" w:hAnsi="Times New Roman" w:cs="Times New Roman"/>
          <w:sz w:val="24"/>
          <w:szCs w:val="24"/>
        </w:rPr>
        <w:t>. Có sự khác biệt này có lẽ là do nghiên cứu của chúng tôi cỡ mẫu còn nhỏ chưa đại diện được cho quần thể bệnh nhân UTPKTBN có đột biến chèn đoạn exon 20. Về các vị trí di căn, trong nghiên cứu của chúng tôi, ex20in</w:t>
      </w:r>
      <w:r w:rsidR="003B11DF">
        <w:rPr>
          <w:rFonts w:ascii="Times New Roman" w:hAnsi="Times New Roman" w:cs="Times New Roman"/>
          <w:sz w:val="24"/>
          <w:szCs w:val="24"/>
        </w:rPr>
        <w:t>s</w:t>
      </w:r>
      <w:r w:rsidR="00C96E51" w:rsidRPr="007A7BA2">
        <w:rPr>
          <w:rFonts w:ascii="Times New Roman" w:hAnsi="Times New Roman" w:cs="Times New Roman"/>
          <w:sz w:val="24"/>
          <w:szCs w:val="24"/>
        </w:rPr>
        <w:t xml:space="preserve"> có xu hướng lan</w:t>
      </w:r>
      <w:r w:rsidR="007A7BA2">
        <w:rPr>
          <w:rFonts w:ascii="Times New Roman" w:hAnsi="Times New Roman" w:cs="Times New Roman"/>
          <w:sz w:val="24"/>
          <w:szCs w:val="24"/>
        </w:rPr>
        <w:t xml:space="preserve"> </w:t>
      </w:r>
      <w:r w:rsidR="00C96E51" w:rsidRPr="007A7BA2">
        <w:rPr>
          <w:rFonts w:ascii="Times New Roman" w:hAnsi="Times New Roman" w:cs="Times New Roman"/>
          <w:sz w:val="24"/>
          <w:szCs w:val="24"/>
        </w:rPr>
        <w:t xml:space="preserve">đến xương, não và màng phổi. Theo nghiên cứu của Morita, xương (21,6%) là vị trí di căn phổ biến nhất ở những bệnh nhân có chèn exon 20, tiếp theo là hệ thần kinh trung ương (CNS) (13,0%) và gan (17,4%). </w:t>
      </w:r>
      <w:r w:rsidR="00C96E51" w:rsidRPr="007A7BA2">
        <w:rPr>
          <w:rFonts w:ascii="Times New Roman" w:hAnsi="Times New Roman" w:cs="Times New Roman"/>
          <w:sz w:val="24"/>
          <w:szCs w:val="24"/>
        </w:rPr>
        <w:fldChar w:fldCharType="begin"/>
      </w:r>
      <w:r w:rsidR="00C96E51" w:rsidRPr="007A7BA2">
        <w:rPr>
          <w:rFonts w:ascii="Times New Roman" w:hAnsi="Times New Roman" w:cs="Times New Roman"/>
          <w:sz w:val="24"/>
          <w:szCs w:val="24"/>
        </w:rPr>
        <w:instrText xml:space="preserve"> ADDIN ZOTERO_ITEM CSL_CITATION {"citationID":"CVln1260","properties":{"formattedCitation":"\\super 11\\nosupersub{}","plainCitation":"11","noteIndex":0},"citationItems":[{"id":248,"uris":["http://zotero.org/users/12066239/items/ZLARTIHS"],"itemData":{"id":248,"type":"article-journal","abstract":"INTRODUCTION: In classical EGFR mutant non-small-cell lung cancer (NSCLC), EGFR tyrosine kinase inhibitor (TKI) therapy yields better outcomes than platinum-based chemotherapy. However, EGFR exon 20 insertion (ex20ins) NSCLC is relatively resistant to currently available EGFR TKIs. Though platinum-based chemotherapy is the frontline standard of care for EGFR ex20ins NSCLC, its efficacy is not fully described.\nSTUDY DESIGN: A retrospective, single-center, case series METHODS: Patients were identified through an electronic research database at a single institution and included if they had advanced EGFR ex20ins NSCLC, received platinum-based chemotherapy for metastatic disease, and had scans evaluable for response. Each patient's demographics, tumor characteristics, and clinical course were recorded. Treatment response was evaluated using RECIST v1.1 criteria, and the PFS was calculated by the Kaplan-Meier method.\nRESULTS: Among 27 patients identified with EGFR ex20ins NSCLC at our institution, 18 (67%) received platinum-based chemotherapy for metastatic disease and had scans evaluable for response. These patients received platinum-based chemotherapy in the first-line (N = 17, 94%) and second-line settings (N = 1, 6%). The objective response rate (ORR) to platinum-based chemotherapy was 39% (7 of 18 patients; 95% confidence interval [CI] 16-61). The median PFS with platinum-based chemotherapy was 7.1 months (95% CI, 6.3 -13.7), and the median overall survival was 3.2 years (95% CI, 1.92 - NR).\nCONCLUSIONS: The efficacy of platinum-based chemotherapy in EGFR ex20ins NSCLC is similar to that expected for TKI sensitive EGFR mutant NSCLC. Novel agents designed to specifically target ex20ins mutant EGFR should additionally improve outcomes.","container-title":"Clinical Lung Cancer","DOI":"10.1016/j.cllc.2021.07.001","ISSN":"1938-0690","issue":"2","journalAbbreviation":"Clin Lung Cancer","language":"eng","note":"PMID: 34391686\nPMCID: PMC8766618","page":"e148-e153","source":"PubMed","title":"EGFR exon 20 Insertion NSCLC and Response to Platinum-Based Chemotherapy","volume":"23","author":[{"family":"Shah","given":"Manan P."},{"family":"Aredo","given":"Jacqueline V."},{"family":"Padda","given":"Sukhmani K."},{"family":"Ramchandran","given":"Kavitha J."},{"family":"Wakelee","given":"Heather A."},{"family":"Das","given":"Millie S."},{"family":"Neal","given":"Joel W."}],"issued":{"date-parts":[["2022",3]]}}}],"schema":"https://github.com/citation-style-language/schema/raw/master/csl-citation.json"} </w:instrText>
      </w:r>
      <w:r w:rsidR="00C96E51" w:rsidRPr="007A7BA2">
        <w:rPr>
          <w:rFonts w:ascii="Times New Roman" w:hAnsi="Times New Roman" w:cs="Times New Roman"/>
          <w:sz w:val="24"/>
          <w:szCs w:val="24"/>
        </w:rPr>
        <w:fldChar w:fldCharType="separate"/>
      </w:r>
      <w:r w:rsidR="00C96E51" w:rsidRPr="007A7BA2">
        <w:rPr>
          <w:rFonts w:ascii="Times New Roman" w:hAnsi="Times New Roman" w:cs="Times New Roman"/>
          <w:sz w:val="24"/>
          <w:szCs w:val="24"/>
          <w:vertAlign w:val="superscript"/>
        </w:rPr>
        <w:t>1</w:t>
      </w:r>
      <w:r w:rsidR="00C96E51" w:rsidRPr="007A7BA2">
        <w:rPr>
          <w:rFonts w:ascii="Times New Roman" w:hAnsi="Times New Roman" w:cs="Times New Roman"/>
          <w:sz w:val="24"/>
          <w:szCs w:val="24"/>
        </w:rPr>
        <w:fldChar w:fldCharType="end"/>
      </w:r>
      <w:r w:rsidR="007A7BA2" w:rsidRPr="007A7BA2">
        <w:rPr>
          <w:rFonts w:ascii="Times New Roman" w:hAnsi="Times New Roman" w:cs="Times New Roman"/>
          <w:sz w:val="24"/>
          <w:szCs w:val="24"/>
          <w:vertAlign w:val="superscript"/>
        </w:rPr>
        <w:t>0</w:t>
      </w:r>
      <w:r w:rsidR="00C96E51" w:rsidRPr="007A7BA2">
        <w:rPr>
          <w:rFonts w:ascii="Times New Roman" w:hAnsi="Times New Roman" w:cs="Times New Roman"/>
          <w:sz w:val="24"/>
          <w:szCs w:val="24"/>
        </w:rPr>
        <w:t xml:space="preserve"> Trong một nghiên cứu ở Trung Quốc,Yang đã chỉ ra rằng xương và phổi cũng là những vị trí di căn phổ biến nhất với tỷ lệ lần lượt là 40,6% và 40%, tiếp theo là màng phổi và não với 36,4% và 23%. </w:t>
      </w:r>
      <w:r w:rsidR="00C96E51" w:rsidRPr="007A7BA2">
        <w:rPr>
          <w:rFonts w:ascii="Times New Roman" w:hAnsi="Times New Roman" w:cs="Times New Roman"/>
          <w:sz w:val="24"/>
          <w:szCs w:val="24"/>
        </w:rPr>
        <w:fldChar w:fldCharType="begin"/>
      </w:r>
      <w:r w:rsidR="00C96E51" w:rsidRPr="007A7BA2">
        <w:rPr>
          <w:rFonts w:ascii="Times New Roman" w:hAnsi="Times New Roman" w:cs="Times New Roman"/>
          <w:sz w:val="24"/>
          <w:szCs w:val="24"/>
        </w:rPr>
        <w:instrText xml:space="preserve"> ADDIN ZOTERO_ITEM CSL_CITATION {"citationID":"TZZyaLXt","properties":{"formattedCitation":"\\super 12\\nosupersub{}","plainCitation":"12","noteIndex":0},"citationItems":[{"id":185,"uris":["http://zotero.org/users/12066239/items/STD4AFB9"],"itemData":{"id":185,"type":"article-journal","container-title":"Lung Cancer","DOI":"10.1016/j.lungcan.2020.03.014","ISSN":"0169-5002, 1872-8332","journalAbbreviation":"Lung Cancer","language":"English","note":"publisher: Elsevier\nPMID: 32336530","page":"186-194","source":"www.lungcancerjournal.info","title":"EGFR exon 20 insertion mutations in Chinese advanced non-small cell lung cancer patients: Molecular heterogeneity and treatment outcome from nationwide real-world study","title-short":"EGFR exon 20 insertion mutations in Chinese advanced non-small cell lung cancer patients","volume":"145","author":[{"family":"Yang","given":"Guangjian"},{"family":"Li","given":"Jun"},{"family":"Xu","given":"Haiyan"},{"family":"Yang","given":"Yaning"},{"family":"Yang","given":"Lu"},{"family":"Xu","given":"Fei"},{"family":"Xia","given":"Bing"},{"family":"Zhu","given":"Viola W."},{"family":"Nagasaka","given":"Misako"},{"family":"Yang","given":"Yan"},{"family":"Li","given":"Yapin"},{"family":"Qiu","given":"Weini"},{"family":"Ying","given":"Jianming"},{"family":"Ou","given":"Sai-Hong Ignatius"},{"family":"Wang","given":"Yan"}],"issued":{"date-parts":[["2020",7,1]]}}}],"schema":"https://github.com/citation-style-language/schema/raw/master/csl-citation.json"} </w:instrText>
      </w:r>
      <w:r w:rsidR="00C96E51" w:rsidRPr="007A7BA2">
        <w:rPr>
          <w:rFonts w:ascii="Times New Roman" w:hAnsi="Times New Roman" w:cs="Times New Roman"/>
          <w:sz w:val="24"/>
          <w:szCs w:val="24"/>
        </w:rPr>
        <w:fldChar w:fldCharType="separate"/>
      </w:r>
      <w:r w:rsidR="00C96E51" w:rsidRPr="007A7BA2">
        <w:rPr>
          <w:rFonts w:ascii="Times New Roman" w:hAnsi="Times New Roman" w:cs="Times New Roman"/>
          <w:sz w:val="24"/>
          <w:szCs w:val="24"/>
          <w:vertAlign w:val="superscript"/>
        </w:rPr>
        <w:t>12</w:t>
      </w:r>
      <w:r w:rsidR="00C96E51" w:rsidRPr="007A7BA2">
        <w:rPr>
          <w:rFonts w:ascii="Times New Roman" w:hAnsi="Times New Roman" w:cs="Times New Roman"/>
          <w:sz w:val="24"/>
          <w:szCs w:val="24"/>
        </w:rPr>
        <w:fldChar w:fldCharType="end"/>
      </w:r>
    </w:p>
    <w:p w:rsidR="00E64F59" w:rsidRPr="007A7BA2" w:rsidRDefault="00C96E51" w:rsidP="007A7BA2">
      <w:pPr>
        <w:spacing w:after="0" w:line="240" w:lineRule="auto"/>
        <w:ind w:firstLine="720"/>
        <w:jc w:val="both"/>
        <w:rPr>
          <w:rFonts w:ascii="Times New Roman" w:hAnsi="Times New Roman" w:cs="Times New Roman"/>
          <w:sz w:val="24"/>
          <w:szCs w:val="24"/>
        </w:rPr>
      </w:pPr>
      <w:r w:rsidRPr="007A7BA2">
        <w:rPr>
          <w:rFonts w:ascii="Times New Roman" w:hAnsi="Times New Roman" w:cs="Times New Roman"/>
          <w:sz w:val="24"/>
          <w:szCs w:val="24"/>
        </w:rPr>
        <w:t>Về mặt hóa trị, hơn một nửa số bệnh nhân của chúng tôi đã sử dụng hóa trị pemetrexed</w:t>
      </w:r>
      <w:r w:rsidR="007A7BA2">
        <w:rPr>
          <w:rFonts w:ascii="Times New Roman" w:hAnsi="Times New Roman" w:cs="Times New Roman"/>
          <w:sz w:val="24"/>
          <w:szCs w:val="24"/>
        </w:rPr>
        <w:t xml:space="preserve"> </w:t>
      </w:r>
      <w:r w:rsidRPr="007A7BA2">
        <w:rPr>
          <w:rFonts w:ascii="Times New Roman" w:hAnsi="Times New Roman" w:cs="Times New Roman"/>
          <w:sz w:val="24"/>
          <w:szCs w:val="24"/>
        </w:rPr>
        <w:t>-platinum. Một nghiên cứu đa trung tâm của Su đã chứng minh</w:t>
      </w:r>
      <w:r w:rsidR="007A7BA2">
        <w:rPr>
          <w:rFonts w:ascii="Times New Roman" w:hAnsi="Times New Roman" w:cs="Times New Roman"/>
          <w:sz w:val="24"/>
          <w:szCs w:val="24"/>
        </w:rPr>
        <w:t xml:space="preserve"> </w:t>
      </w:r>
      <w:r w:rsidRPr="007A7BA2">
        <w:rPr>
          <w:rFonts w:ascii="Times New Roman" w:hAnsi="Times New Roman" w:cs="Times New Roman"/>
          <w:sz w:val="24"/>
          <w:szCs w:val="24"/>
        </w:rPr>
        <w:t>rằng những bệnh nhân được điều trị bằng hóa chất dựa trên pemetrexed có thời gian sống không</w:t>
      </w:r>
      <w:r w:rsidR="007A7BA2">
        <w:rPr>
          <w:rFonts w:ascii="Times New Roman" w:hAnsi="Times New Roman" w:cs="Times New Roman"/>
          <w:sz w:val="24"/>
          <w:szCs w:val="24"/>
        </w:rPr>
        <w:t xml:space="preserve"> bệnh</w:t>
      </w:r>
      <w:r w:rsidRPr="007A7BA2">
        <w:rPr>
          <w:rFonts w:ascii="Times New Roman" w:hAnsi="Times New Roman" w:cs="Times New Roman"/>
          <w:sz w:val="24"/>
          <w:szCs w:val="24"/>
        </w:rPr>
        <w:t xml:space="preserve"> tiến triển trung bình (PFS) dài hơn những bệnh nhân không được điều trị bằng hóa chất dựa trên pemetrexed (5,5 so với 3,0 tháng, p = 0,0026). </w:t>
      </w:r>
      <w:r w:rsidRPr="007A7BA2">
        <w:rPr>
          <w:rFonts w:ascii="Times New Roman" w:hAnsi="Times New Roman" w:cs="Times New Roman"/>
          <w:sz w:val="24"/>
          <w:szCs w:val="24"/>
        </w:rPr>
        <w:fldChar w:fldCharType="begin"/>
      </w:r>
      <w:r w:rsidRPr="007A7BA2">
        <w:rPr>
          <w:rFonts w:ascii="Times New Roman" w:hAnsi="Times New Roman" w:cs="Times New Roman"/>
          <w:sz w:val="24"/>
          <w:szCs w:val="24"/>
        </w:rPr>
        <w:instrText xml:space="preserve"> ADDIN ZOTERO_ITEM CSL_CITATION {"citationID":"hrIxR0Wt","properties":{"formattedCitation":"\\super 13\\nosupersub{}","plainCitation":"13","noteIndex":0},"citationItems":[{"id":207,"uris":["http://zotero.org/users/12066239/items/I3FYPVWJ"],"itemData":{"id":207,"type":"article-journal","abstract":"BACKGROUND: Chemotherapy is the major choice for advanced non-small-cell lung cancer (NSCLC) patients with epidermal growth factor receptor exon 20 insertion (EGFR ex20ins). The efficacy of pemetrexed-based with other chemotherapy regimens and EGFR ex20ins subtypes in this population has not been well studied.\nMETHODS: We screened patients with EGFR ex20ins by next-generation sequencing (NGS) from a large cohort. The clinicopathologic and medical information were collected in advanced NSCLC patients with EGFR ex20ins. We also compared the clinical outcomes among patients with different subtypes of EGFR ex20ins.\nRESULTS: We retrospectively collected 119 stage IIIB/IV NSCLC patients with EGFR ex20ins from 9142 NSCLC patients across China from June 2013 to December 2018. The subtypes of EGFR ex20ins included A767_V769dupASV (33/119, 27.73%), S768_D770dupSVD (19/119, 15.97%), N771_H773dupNPH (11/119, 9.24%), A763_Y764insFQEA (2/119, 1.68%) and others (54/119, 45.38%). A total of 64.7% (77/119) of patients received pemetrexed-based first-line chemotherapy and 13.45% (16/119) of patients received pemetrexed-based second-line chemotherapy. Pemetrexed-based chemo-treated patients had longer median progression-free survival (PFS) than patients without pemetrexed-based chemo-treated (5.5 vs. 3.0 months, P=0.0026). Survival data was available for 66 patients and the median overall survival (OS) was 24.7 months. Pemetrexed-based chemo-treated patients had longer OS tendency than patients without pemetrexed-based chemo-treated (25.0 vs. 19.6 months, P=0.0769). Patients harboring A767_V769dupASV had better OS than other subtypes of EGFR ex20ins but without statistical significance (P=0.0676). Multivariate analysis revealed that histological type of NSCLC and bone-metastasis before treatment were independent prognostic factors for OS in all patients after adjusting all characteristic and treatment factors (P&lt;0.05).\nCONCLUSIONS: To the best of our knowledge, it is the largest cohort study of advanced NSCLC patients with EGFR ex20ins across China. Pemetrexed-based treatment could have better control of disease than non-pemetrexed-based chemotherapies in this population. Furthermore, more effective agents are expected for patients harboring EGFR ex20ins.","container-title":"Translational Lung Cancer Research","DOI":"10.21037/tlcr-20-382","ISSN":"2218-6751","issue":"5","journalAbbreviation":"Transl Lung Cancer Res","language":"eng","note":"PMID: 33209607\nPMCID: PMC7653161","page":"1853-1861","source":"PubMed","title":"Pemetrexed-based chemotherapy for non-small-cell lung cancer patients with EGFR exon 20 insertion mutation: a multicenter study","title-short":"Pemetrexed-based chemotherapy for non-small-cell lung cancer patients with EGFR exon 20 insertion mutation","volume":"9","author":[{"family":"Xu","given":"Chun-Wei"},{"family":"Wang","given":"Wen-Xian"},{"family":"Wang","given":"Dong"},{"family":"Wang","given":"Qi-Ming"},{"family":"Pu","given":"Xing-Xiang"},{"family":"Zhu","given":"You-Cai"},{"family":"Huang","given":"Jian-Hui"},{"family":"Yu","given":"Zong-Yang"},{"family":"Cui","given":"Zhao-Lei"},{"family":"Chen","given":"Xiao-Hui"},{"family":"Li","given":"Jin-Luan"},{"family":"Fang","given":"Yong"},{"family":"Wang","given":"Hong"},{"family":"Zhuang","given":"Wu"},{"family":"Lan","given":"Shi-Jie"},{"family":"Cai","given":"Xin"},{"family":"Zhang","given":"Yin-Bin"},{"family":"Gao","given":"Wen-Bin"},{"family":"Wang","given":"Li-Ping"},{"family":"She","given":"Ke-Lin"},{"family":"Rao","given":"Chuang-Zhou"},{"family":"Zhou","given":"Yue-Fen"},{"family":"Fang","given":"Mei-Yu"},{"family":"Miao","given":"Li-Yun"},{"family":"Lei","given":"Lei"},{"family":"Lv","given":"Tang-Feng"},{"family":"Song","given":"Yong"}],"issued":{"date-parts":[["2020",10]]}}}],"schema":"https://github.com/citation-style-language/schema/raw/master/csl-citation.json"} </w:instrText>
      </w:r>
      <w:r w:rsidRPr="007A7BA2">
        <w:rPr>
          <w:rFonts w:ascii="Times New Roman" w:hAnsi="Times New Roman" w:cs="Times New Roman"/>
          <w:sz w:val="24"/>
          <w:szCs w:val="24"/>
        </w:rPr>
        <w:fldChar w:fldCharType="separate"/>
      </w:r>
      <w:r w:rsidRPr="007A7BA2">
        <w:rPr>
          <w:rFonts w:ascii="Times New Roman" w:hAnsi="Times New Roman" w:cs="Times New Roman"/>
          <w:sz w:val="24"/>
          <w:szCs w:val="24"/>
          <w:vertAlign w:val="superscript"/>
        </w:rPr>
        <w:t>13</w:t>
      </w:r>
      <w:r w:rsidRPr="007A7BA2">
        <w:rPr>
          <w:rFonts w:ascii="Times New Roman" w:hAnsi="Times New Roman" w:cs="Times New Roman"/>
          <w:sz w:val="24"/>
          <w:szCs w:val="24"/>
        </w:rPr>
        <w:fldChar w:fldCharType="end"/>
      </w:r>
      <w:r w:rsidRPr="007A7BA2">
        <w:rPr>
          <w:rFonts w:ascii="Times New Roman" w:hAnsi="Times New Roman" w:cs="Times New Roman"/>
          <w:sz w:val="24"/>
          <w:szCs w:val="24"/>
        </w:rPr>
        <w:t xml:space="preserve"> Dữ liệu về khả năng sống sót đã có sẵn cho 66 bệnh nhân và thời gian số</w:t>
      </w:r>
      <w:r w:rsidR="007A7BA2">
        <w:rPr>
          <w:rFonts w:ascii="Times New Roman" w:hAnsi="Times New Roman" w:cs="Times New Roman"/>
          <w:sz w:val="24"/>
          <w:szCs w:val="24"/>
        </w:rPr>
        <w:t xml:space="preserve">ng thêm toàn bộ </w:t>
      </w:r>
      <w:r w:rsidRPr="007A7BA2">
        <w:rPr>
          <w:rFonts w:ascii="Times New Roman" w:hAnsi="Times New Roman" w:cs="Times New Roman"/>
          <w:sz w:val="24"/>
          <w:szCs w:val="24"/>
        </w:rPr>
        <w:t xml:space="preserve">trung bình (OS) là 24,7 tháng. Những bệnh nhân được điều trị bằng hóa chất dựa trên pemetrexed có xu hướng OS dài hơn những bệnh nhân không được điều trị bằng hóa chất dựa trên pemetrexed (25,0 so với 19,6 tháng, P = 0,0769). </w:t>
      </w:r>
      <w:r w:rsidRPr="007A7BA2">
        <w:rPr>
          <w:rFonts w:ascii="Times New Roman" w:hAnsi="Times New Roman" w:cs="Times New Roman"/>
          <w:sz w:val="24"/>
          <w:szCs w:val="24"/>
        </w:rPr>
        <w:fldChar w:fldCharType="begin"/>
      </w:r>
      <w:r w:rsidRPr="007A7BA2">
        <w:rPr>
          <w:rFonts w:ascii="Times New Roman" w:hAnsi="Times New Roman" w:cs="Times New Roman"/>
          <w:sz w:val="24"/>
          <w:szCs w:val="24"/>
        </w:rPr>
        <w:instrText xml:space="preserve"> ADDIN ZOTERO_ITEM CSL_CITATION {"citationID":"ty0Q2oUF","properties":{"formattedCitation":"\\super 13\\nosupersub{}","plainCitation":"13","noteIndex":0},"citationItems":[{"id":207,"uris":["http://zotero.org/users/12066239/items/I3FYPVWJ"],"itemData":{"id":207,"type":"article-journal","abstract":"BACKGROUND: Chemotherapy is the major choice for advanced non-small-cell lung cancer (NSCLC) patients with epidermal growth factor receptor exon 20 insertion (EGFR ex20ins). The efficacy of pemetrexed-based with other chemotherapy regimens and EGFR ex20ins subtypes in this population has not been well studied.\nMETHODS: We screened patients with EGFR ex20ins by next-generation sequencing (NGS) from a large cohort. The clinicopathologic and medical information were collected in advanced NSCLC patients with EGFR ex20ins. We also compared the clinical outcomes among patients with different subtypes of EGFR ex20ins.\nRESULTS: We retrospectively collected 119 stage IIIB/IV NSCLC patients with EGFR ex20ins from 9142 NSCLC patients across China from June 2013 to December 2018. The subtypes of EGFR ex20ins included A767_V769dupASV (33/119, 27.73%), S768_D770dupSVD (19/119, 15.97%), N771_H773dupNPH (11/119, 9.24%), A763_Y764insFQEA (2/119, 1.68%) and others (54/119, 45.38%). A total of 64.7% (77/119) of patients received pemetrexed-based first-line chemotherapy and 13.45% (16/119) of patients received pemetrexed-based second-line chemotherapy. Pemetrexed-based chemo-treated patients had longer median progression-free survival (PFS) than patients without pemetrexed-based chemo-treated (5.5 vs. 3.0 months, P=0.0026). Survival data was available for 66 patients and the median overall survival (OS) was 24.7 months. Pemetrexed-based chemo-treated patients had longer OS tendency than patients without pemetrexed-based chemo-treated (25.0 vs. 19.6 months, P=0.0769). Patients harboring A767_V769dupASV had better OS than other subtypes of EGFR ex20ins but without statistical significance (P=0.0676). Multivariate analysis revealed that histological type of NSCLC and bone-metastasis before treatment were independent prognostic factors for OS in all patients after adjusting all characteristic and treatment factors (P&lt;0.05).\nCONCLUSIONS: To the best of our knowledge, it is the largest cohort study of advanced NSCLC patients with EGFR ex20ins across China. Pemetrexed-based treatment could have better control of disease than non-pemetrexed-based chemotherapies in this population. Furthermore, more effective agents are expected for patients harboring EGFR ex20ins.","container-title":"Translational Lung Cancer Research","DOI":"10.21037/tlcr-20-382","ISSN":"2218-6751","issue":"5","journalAbbreviation":"Transl Lung Cancer Res","language":"eng","note":"PMID: 33209607\nPMCID: PMC7653161","page":"1853-1861","source":"PubMed","title":"Pemetrexed-based chemotherapy for non-small-cell lung cancer patients with EGFR exon 20 insertion mutation: a multicenter study","title-short":"Pemetrexed-based chemotherapy for non-small-cell lung cancer patients with EGFR exon 20 insertion mutation","volume":"9","author":[{"family":"Xu","given":"Chun-Wei"},{"family":"Wang","given":"Wen-Xian"},{"family":"Wang","given":"Dong"},{"family":"Wang","given":"Qi-Ming"},{"family":"Pu","given":"Xing-Xiang"},{"family":"Zhu","given":"You-Cai"},{"family":"Huang","given":"Jian-Hui"},{"family":"Yu","given":"Zong-Yang"},{"family":"Cui","given":"Zhao-Lei"},{"family":"Chen","given":"Xiao-Hui"},{"family":"Li","given":"Jin-Luan"},{"family":"Fang","given":"Yong"},{"family":"Wang","given":"Hong"},{"family":"Zhuang","given":"Wu"},{"family":"Lan","given":"Shi-Jie"},{"family":"Cai","given":"Xin"},{"family":"Zhang","given":"Yin-Bin"},{"family":"Gao","given":"Wen-Bin"},{"family":"Wang","given":"Li-Ping"},{"family":"She","given":"Ke-Lin"},{"family":"Rao","given":"Chuang-Zhou"},{"family":"Zhou","given":"Yue-Fen"},{"family":"Fang","given":"Mei-Yu"},{"family":"Miao","given":"Li-Yun"},{"family":"Lei","given":"Lei"},{"family":"Lv","given":"Tang-Feng"},{"family":"Song","given":"Yong"}],"issued":{"date-parts":[["2020",10]]}}}],"schema":"https://github.com/citation-style-language/schema/raw/master/csl-citation.json"} </w:instrText>
      </w:r>
      <w:r w:rsidRPr="007A7BA2">
        <w:rPr>
          <w:rFonts w:ascii="Times New Roman" w:hAnsi="Times New Roman" w:cs="Times New Roman"/>
          <w:sz w:val="24"/>
          <w:szCs w:val="24"/>
        </w:rPr>
        <w:fldChar w:fldCharType="separate"/>
      </w:r>
      <w:r w:rsidRPr="007A7BA2">
        <w:rPr>
          <w:rFonts w:ascii="Times New Roman" w:hAnsi="Times New Roman" w:cs="Times New Roman"/>
          <w:sz w:val="24"/>
          <w:szCs w:val="24"/>
          <w:vertAlign w:val="superscript"/>
        </w:rPr>
        <w:t>13</w:t>
      </w:r>
      <w:r w:rsidRPr="007A7BA2">
        <w:rPr>
          <w:rFonts w:ascii="Times New Roman" w:hAnsi="Times New Roman" w:cs="Times New Roman"/>
          <w:sz w:val="24"/>
          <w:szCs w:val="24"/>
        </w:rPr>
        <w:fldChar w:fldCharType="end"/>
      </w:r>
      <w:r w:rsidRPr="007A7BA2">
        <w:rPr>
          <w:rFonts w:ascii="Times New Roman" w:hAnsi="Times New Roman" w:cs="Times New Roman"/>
          <w:sz w:val="24"/>
          <w:szCs w:val="24"/>
        </w:rPr>
        <w:t xml:space="preserve"> Tuy nhiên, đối với UTPKTBN giai đoạn tiến xa nói chung, paclitaxel </w:t>
      </w:r>
      <w:r w:rsidR="007A7BA2">
        <w:rPr>
          <w:rFonts w:ascii="Times New Roman" w:hAnsi="Times New Roman" w:cs="Times New Roman"/>
          <w:sz w:val="24"/>
          <w:szCs w:val="24"/>
        </w:rPr>
        <w:t>phối hợp</w:t>
      </w:r>
      <w:r w:rsidRPr="007A7BA2">
        <w:rPr>
          <w:rFonts w:ascii="Times New Roman" w:hAnsi="Times New Roman" w:cs="Times New Roman"/>
          <w:sz w:val="24"/>
          <w:szCs w:val="24"/>
        </w:rPr>
        <w:t xml:space="preserve"> carboplatin so với pemetrexed</w:t>
      </w:r>
      <w:r w:rsidR="007A7BA2">
        <w:rPr>
          <w:rFonts w:ascii="Times New Roman" w:hAnsi="Times New Roman" w:cs="Times New Roman"/>
          <w:sz w:val="24"/>
          <w:szCs w:val="24"/>
        </w:rPr>
        <w:t xml:space="preserve"> phối hợp</w:t>
      </w:r>
      <w:r w:rsidRPr="007A7BA2">
        <w:rPr>
          <w:rFonts w:ascii="Times New Roman" w:hAnsi="Times New Roman" w:cs="Times New Roman"/>
          <w:sz w:val="24"/>
          <w:szCs w:val="24"/>
        </w:rPr>
        <w:t xml:space="preserve"> carboplatin cung cấp kết quả tương tự, nhưng các tác dụng phụ khác nhau với hóa trị liệu dựa trên pemetrexed có khả năng dung nạp tốt hơn. </w:t>
      </w:r>
      <w:r w:rsidR="00364462" w:rsidRPr="007A7BA2">
        <w:rPr>
          <w:rFonts w:ascii="Times New Roman" w:hAnsi="Times New Roman" w:cs="Times New Roman"/>
          <w:sz w:val="24"/>
          <w:szCs w:val="24"/>
          <w:vertAlign w:val="superscript"/>
        </w:rPr>
        <w:t>14</w:t>
      </w:r>
      <w:r w:rsidR="007A7BA2">
        <w:rPr>
          <w:rFonts w:ascii="Times New Roman" w:hAnsi="Times New Roman" w:cs="Times New Roman"/>
          <w:sz w:val="24"/>
          <w:szCs w:val="24"/>
          <w:vertAlign w:val="superscript"/>
        </w:rPr>
        <w:t xml:space="preserve"> </w:t>
      </w:r>
      <w:r w:rsidR="00E64F59" w:rsidRPr="007A7BA2">
        <w:rPr>
          <w:rFonts w:ascii="Times New Roman" w:hAnsi="Times New Roman" w:cs="Times New Roman"/>
          <w:sz w:val="24"/>
          <w:szCs w:val="24"/>
        </w:rPr>
        <w:t>Nghiên cứu của chúng tôi cho thấy tỷ lệ đáp ứ</w:t>
      </w:r>
      <w:r w:rsidR="00364462" w:rsidRPr="007A7BA2">
        <w:rPr>
          <w:rFonts w:ascii="Times New Roman" w:hAnsi="Times New Roman" w:cs="Times New Roman"/>
          <w:sz w:val="24"/>
          <w:szCs w:val="24"/>
        </w:rPr>
        <w:t>ng là 25</w:t>
      </w:r>
      <w:r w:rsidR="00E64F59" w:rsidRPr="007A7BA2">
        <w:rPr>
          <w:rFonts w:ascii="Times New Roman" w:hAnsi="Times New Roman" w:cs="Times New Roman"/>
          <w:sz w:val="24"/>
          <w:szCs w:val="24"/>
        </w:rPr>
        <w:t>% và tỷ lệ kiểm soát bệ</w:t>
      </w:r>
      <w:r w:rsidR="00364462" w:rsidRPr="007A7BA2">
        <w:rPr>
          <w:rFonts w:ascii="Times New Roman" w:hAnsi="Times New Roman" w:cs="Times New Roman"/>
          <w:sz w:val="24"/>
          <w:szCs w:val="24"/>
        </w:rPr>
        <w:t>nh là 66,7</w:t>
      </w:r>
      <w:r w:rsidR="00E64F59" w:rsidRPr="007A7BA2">
        <w:rPr>
          <w:rFonts w:ascii="Times New Roman" w:hAnsi="Times New Roman" w:cs="Times New Roman"/>
          <w:sz w:val="24"/>
          <w:szCs w:val="24"/>
        </w:rPr>
        <w:t xml:space="preserve">%. </w:t>
      </w:r>
      <w:r w:rsidR="00364462" w:rsidRPr="007A7BA2">
        <w:rPr>
          <w:rFonts w:ascii="Times New Roman" w:hAnsi="Times New Roman" w:cs="Times New Roman"/>
          <w:sz w:val="24"/>
          <w:szCs w:val="24"/>
        </w:rPr>
        <w:t>PFS là 7</w:t>
      </w:r>
      <w:r w:rsidR="00E64F59" w:rsidRPr="007A7BA2">
        <w:rPr>
          <w:rFonts w:ascii="Times New Roman" w:hAnsi="Times New Roman" w:cs="Times New Roman"/>
          <w:sz w:val="24"/>
          <w:szCs w:val="24"/>
        </w:rPr>
        <w:t xml:space="preserve">,0 tháng, </w:t>
      </w:r>
      <w:r w:rsidR="00364462" w:rsidRPr="007A7BA2">
        <w:rPr>
          <w:rFonts w:ascii="Times New Roman" w:hAnsi="Times New Roman" w:cs="Times New Roman"/>
          <w:sz w:val="24"/>
          <w:szCs w:val="24"/>
        </w:rPr>
        <w:t>OS là 17</w:t>
      </w:r>
      <w:r w:rsidR="00E64F59" w:rsidRPr="007A7BA2">
        <w:rPr>
          <w:rFonts w:ascii="Times New Roman" w:hAnsi="Times New Roman" w:cs="Times New Roman"/>
          <w:sz w:val="24"/>
          <w:szCs w:val="24"/>
        </w:rPr>
        <w:t xml:space="preserve"> tháng. Trong một nghiên cứu hồi cứu được thực hiện tạ</w:t>
      </w:r>
      <w:r w:rsidR="00364462" w:rsidRPr="007A7BA2">
        <w:rPr>
          <w:rFonts w:ascii="Times New Roman" w:hAnsi="Times New Roman" w:cs="Times New Roman"/>
          <w:sz w:val="24"/>
          <w:szCs w:val="24"/>
        </w:rPr>
        <w:t xml:space="preserve">i </w:t>
      </w:r>
      <w:r w:rsidR="00E64F59" w:rsidRPr="007A7BA2">
        <w:rPr>
          <w:rFonts w:ascii="Times New Roman" w:hAnsi="Times New Roman" w:cs="Times New Roman"/>
          <w:sz w:val="24"/>
          <w:szCs w:val="24"/>
        </w:rPr>
        <w:t xml:space="preserve">Đại học Stanford, tỷ lệ đáp ứng khách quan đối với hóa </w:t>
      </w:r>
      <w:r w:rsidR="00364462" w:rsidRPr="007A7BA2">
        <w:rPr>
          <w:rFonts w:ascii="Times New Roman" w:hAnsi="Times New Roman" w:cs="Times New Roman"/>
          <w:sz w:val="24"/>
          <w:szCs w:val="24"/>
        </w:rPr>
        <w:t xml:space="preserve">chất bộ đôi </w:t>
      </w:r>
      <w:r w:rsidR="00E64F59" w:rsidRPr="007A7BA2">
        <w:rPr>
          <w:rFonts w:ascii="Times New Roman" w:hAnsi="Times New Roman" w:cs="Times New Roman"/>
          <w:sz w:val="24"/>
          <w:szCs w:val="24"/>
        </w:rPr>
        <w:t>là 44% (8 đáp ứng một phần, 10 bệnh ổn định) với mức giảm trung bình</w:t>
      </w:r>
      <w:r w:rsid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22% (SD: 15,6) về gánh nặng khối u. PFS là 7,1 tháng (95% C</w:t>
      </w:r>
      <w:r w:rsidR="007A7BA2">
        <w:rPr>
          <w:rFonts w:ascii="Times New Roman" w:hAnsi="Times New Roman" w:cs="Times New Roman"/>
          <w:sz w:val="24"/>
          <w:szCs w:val="24"/>
        </w:rPr>
        <w:t>I, 6,3 – 13,7)</w:t>
      </w:r>
      <w:r w:rsidR="00E64F59" w:rsidRPr="007A7BA2">
        <w:rPr>
          <w:rFonts w:ascii="Times New Roman" w:hAnsi="Times New Roman" w:cs="Times New Roman"/>
          <w:sz w:val="24"/>
          <w:szCs w:val="24"/>
        </w:rPr>
        <w:t xml:space="preserve">. </w:t>
      </w:r>
      <w:r w:rsidR="00364462" w:rsidRPr="007A7BA2">
        <w:rPr>
          <w:rFonts w:ascii="Times New Roman" w:hAnsi="Times New Roman" w:cs="Times New Roman"/>
          <w:sz w:val="24"/>
          <w:szCs w:val="24"/>
        </w:rPr>
        <w:fldChar w:fldCharType="begin"/>
      </w:r>
      <w:r w:rsidR="00364462" w:rsidRPr="007A7BA2">
        <w:rPr>
          <w:rFonts w:ascii="Times New Roman" w:hAnsi="Times New Roman" w:cs="Times New Roman"/>
          <w:sz w:val="24"/>
          <w:szCs w:val="24"/>
        </w:rPr>
        <w:instrText xml:space="preserve"> ADDIN ZOTERO_ITEM CSL_CITATION {"citationID":"hCmR7pB2","properties":{"formattedCitation":"\\super 11\\nosupersub{}","plainCitation":"11","noteIndex":0},"citationItems":[{"id":248,"uris":["http://zotero.org/users/12066239/items/ZLARTIHS"],"itemData":{"id":248,"type":"article-journal","abstract":"INTRODUCTION: In classical EGFR mutant non-small-cell lung cancer (NSCLC), EGFR tyrosine kinase inhibitor (TKI) therapy yields better outcomes than platinum-based chemotherapy. However, EGFR exon 20 insertion (ex20ins) NSCLC is relatively resistant to currently available EGFR TKIs. Though platinum-based chemotherapy is the frontline standard of care for EGFR ex20ins NSCLC, its efficacy is not fully described.\nSTUDY DESIGN: A retrospective, single-center, case series METHODS: Patients were identified through an electronic research database at a single institution and included if they had advanced EGFR ex20ins NSCLC, received platinum-based chemotherapy for metastatic disease, and had scans evaluable for response. Each patient's demographics, tumor characteristics, and clinical course were recorded. Treatment response was evaluated using RECIST v1.1 criteria, and the PFS was calculated by the Kaplan-Meier method.\nRESULTS: Among 27 patients identified with EGFR ex20ins NSCLC at our institution, 18 (67%) received platinum-based chemotherapy for metastatic disease and had scans evaluable for response. These patients received platinum-based chemotherapy in the first-line (N = 17, 94%) and second-line settings (N = 1, 6%). The objective response rate (ORR) to platinum-based chemotherapy was 39% (7 of 18 patients; 95% confidence interval [CI] 16-61). The median PFS with platinum-based chemotherapy was 7.1 months (95% CI, 6.3 -13.7), and the median overall survival was 3.2 years (95% CI, 1.92 - NR).\nCONCLUSIONS: The efficacy of platinum-based chemotherapy in EGFR ex20ins NSCLC is similar to that expected for TKI sensitive EGFR mutant NSCLC. Novel agents designed to specifically target ex20ins mutant EGFR should additionally improve outcomes.","container-title":"Clinical Lung Cancer","DOI":"10.1016/j.cllc.2021.07.001","ISSN":"1938-0690","issue":"2","journalAbbreviation":"Clin Lung Cancer","language":"eng","note":"PMID: 34391686\nPMCID: PMC8766618","page":"e148-e153","source":"PubMed","title":"EGFR exon 20 Insertion NSCLC and Response to Platinum-Based Chemotherapy","volume":"23","author":[{"family":"Shah","given":"Manan P."},{"family":"Aredo","given":"Jacqueline V."},{"family":"Padda","given":"Sukhmani K."},{"family":"Ramchandran","given":"Kavitha J."},{"family":"Wakelee","given":"Heather A."},{"family":"Das","given":"Millie S."},{"family":"Neal","given":"Joel W."}],"issued":{"date-parts":[["2022",3]]}}}],"schema":"https://github.com/citation-style-language/schema/raw/master/csl-citation.json"} </w:instrText>
      </w:r>
      <w:r w:rsidR="00364462" w:rsidRPr="007A7BA2">
        <w:rPr>
          <w:rFonts w:ascii="Times New Roman" w:hAnsi="Times New Roman" w:cs="Times New Roman"/>
          <w:sz w:val="24"/>
          <w:szCs w:val="24"/>
        </w:rPr>
        <w:fldChar w:fldCharType="separate"/>
      </w:r>
      <w:r w:rsidR="00364462" w:rsidRPr="007A7BA2">
        <w:rPr>
          <w:rFonts w:ascii="Times New Roman" w:hAnsi="Times New Roman" w:cs="Times New Roman"/>
          <w:sz w:val="24"/>
          <w:szCs w:val="24"/>
          <w:vertAlign w:val="superscript"/>
        </w:rPr>
        <w:t>11</w:t>
      </w:r>
      <w:r w:rsidR="00364462" w:rsidRPr="007A7BA2">
        <w:rPr>
          <w:rFonts w:ascii="Times New Roman" w:hAnsi="Times New Roman" w:cs="Times New Roman"/>
          <w:sz w:val="24"/>
          <w:szCs w:val="24"/>
        </w:rPr>
        <w:fldChar w:fldCharType="end"/>
      </w:r>
      <w:r w:rsidR="00E64F59" w:rsidRPr="007A7BA2">
        <w:rPr>
          <w:rFonts w:ascii="Times New Roman" w:hAnsi="Times New Roman" w:cs="Times New Roman"/>
          <w:sz w:val="24"/>
          <w:szCs w:val="24"/>
        </w:rPr>
        <w:t xml:space="preserve"> Một nghiên cứu tại Nhật Bản đã điều tra 85 bệnh nhân có đột biế</w:t>
      </w:r>
      <w:r w:rsidR="00364462" w:rsidRPr="007A7BA2">
        <w:rPr>
          <w:rFonts w:ascii="Times New Roman" w:hAnsi="Times New Roman" w:cs="Times New Roman"/>
          <w:sz w:val="24"/>
          <w:szCs w:val="24"/>
        </w:rPr>
        <w:t xml:space="preserve">n chèn exon 20, </w:t>
      </w:r>
      <w:r w:rsidR="00E64F59" w:rsidRPr="007A7BA2">
        <w:rPr>
          <w:rFonts w:ascii="Times New Roman" w:hAnsi="Times New Roman" w:cs="Times New Roman"/>
          <w:sz w:val="24"/>
          <w:szCs w:val="24"/>
        </w:rPr>
        <w:t xml:space="preserve"> các phác đồ có chứa </w:t>
      </w:r>
      <w:r w:rsidR="00364462" w:rsidRPr="007A7BA2">
        <w:rPr>
          <w:rFonts w:ascii="Times New Roman" w:hAnsi="Times New Roman" w:cs="Times New Roman"/>
          <w:sz w:val="24"/>
          <w:szCs w:val="24"/>
        </w:rPr>
        <w:t>pemetrexed có PFS tốt hơn (6,2 tháng</w:t>
      </w:r>
      <w:r w:rsidR="00E64F59" w:rsidRPr="007A7BA2">
        <w:rPr>
          <w:rFonts w:ascii="Times New Roman" w:hAnsi="Times New Roman" w:cs="Times New Roman"/>
          <w:sz w:val="24"/>
          <w:szCs w:val="24"/>
        </w:rPr>
        <w:t xml:space="preserve"> so vớ</w:t>
      </w:r>
      <w:r w:rsidR="00364462" w:rsidRPr="007A7BA2">
        <w:rPr>
          <w:rFonts w:ascii="Times New Roman" w:hAnsi="Times New Roman" w:cs="Times New Roman"/>
          <w:sz w:val="24"/>
          <w:szCs w:val="24"/>
        </w:rPr>
        <w:t>i 2,7 tháng</w:t>
      </w:r>
      <w:r w:rsidR="00E64F59" w:rsidRPr="007A7BA2">
        <w:rPr>
          <w:rFonts w:ascii="Times New Roman" w:hAnsi="Times New Roman" w:cs="Times New Roman"/>
          <w:sz w:val="24"/>
          <w:szCs w:val="24"/>
        </w:rPr>
        <w:t xml:space="preserve">, p &lt; 0,0001) và </w:t>
      </w:r>
      <w:r w:rsidR="00364462" w:rsidRPr="007A7BA2">
        <w:rPr>
          <w:rFonts w:ascii="Times New Roman" w:hAnsi="Times New Roman" w:cs="Times New Roman"/>
          <w:sz w:val="24"/>
          <w:szCs w:val="24"/>
        </w:rPr>
        <w:t>OS (28 tháng</w:t>
      </w:r>
      <w:r w:rsidR="00E64F59" w:rsidRPr="007A7BA2">
        <w:rPr>
          <w:rFonts w:ascii="Times New Roman" w:hAnsi="Times New Roman" w:cs="Times New Roman"/>
          <w:sz w:val="24"/>
          <w:szCs w:val="24"/>
        </w:rPr>
        <w:t xml:space="preserve"> so vớ</w:t>
      </w:r>
      <w:r w:rsidR="00364462" w:rsidRPr="007A7BA2">
        <w:rPr>
          <w:rFonts w:ascii="Times New Roman" w:hAnsi="Times New Roman" w:cs="Times New Roman"/>
          <w:sz w:val="24"/>
          <w:szCs w:val="24"/>
        </w:rPr>
        <w:t>i 13,9 tháng, p</w:t>
      </w:r>
      <w:r w:rsidR="00E64F59" w:rsidRPr="007A7BA2">
        <w:rPr>
          <w:rFonts w:ascii="Times New Roman" w:hAnsi="Times New Roman" w:cs="Times New Roman"/>
          <w:sz w:val="24"/>
          <w:szCs w:val="24"/>
        </w:rPr>
        <w:t xml:space="preserve"> = 0,016) so với các phác đồ</w:t>
      </w:r>
      <w:r w:rsidR="00364462" w:rsidRPr="007A7BA2">
        <w:rPr>
          <w:rFonts w:ascii="Times New Roman" w:hAnsi="Times New Roman" w:cs="Times New Roman"/>
          <w:sz w:val="24"/>
          <w:szCs w:val="24"/>
        </w:rPr>
        <w:t xml:space="preserve"> không có pemetrexed. </w:t>
      </w:r>
      <w:r w:rsidR="00364462" w:rsidRPr="007A7BA2">
        <w:rPr>
          <w:rFonts w:ascii="Times New Roman" w:hAnsi="Times New Roman" w:cs="Times New Roman"/>
          <w:sz w:val="24"/>
          <w:szCs w:val="24"/>
        </w:rPr>
        <w:fldChar w:fldCharType="begin"/>
      </w:r>
      <w:r w:rsidR="00364462" w:rsidRPr="007A7BA2">
        <w:rPr>
          <w:rFonts w:ascii="Times New Roman" w:hAnsi="Times New Roman" w:cs="Times New Roman"/>
          <w:sz w:val="24"/>
          <w:szCs w:val="24"/>
        </w:rPr>
        <w:instrText xml:space="preserve"> ADDIN ZOTERO_ITEM CSL_CITATION {"citationID":"CwBURP61","properties":{"formattedCitation":"\\super 14\\nosupersub{}","plainCitation":"14","noteIndex":0},"citationItems":[{"id":242,"uris":["http://zotero.org/users/12066239/items/DQPK2AUK"],"itemData":{"id":242,"type":"article-journal","abstract":"BACKGROUND: Two main categories of epidermal growth factor receptor (EGFR) mutations in non-small-cell lung cancer (NSCLC) patients are deletions in exon 19 and L858R in exon 21. Treatments of advanced NSCLC patients with these mutations are well documented, and clinical responses to tyrosine kinase inhibitors (TKIs) are favorable. However, effective treatments for patients with exon 20 insertion mutations are not well verified. We investigated the clinical response to various treatments (chemotherapy and TKIs) of advanced NSCLC patients with EGFR exon 20 insertions.\nPATIENTS AND METHODS: In this study, specimens from 3805 NSCLC patients were examined for EGFR mutations. Different first-line treatments and their effectiveness in NSCLC patients with exon 20 insertion EGFR mutations were investigated.\nRESULTS: In the cohort of the 3805 patients, 2112 (55.5%) had EGFR mutations, including 84 patients (4.0%) with exon 20 insertion mutations. Efficacy of different first-line chemotherapy or TKIs were evaluated. Pemetrexed-containing therapies were related to better progression-free survival (6.2 vs. 2.7 months; P &lt; .001) and overall survival (28.0 vs. 15.4 months; P = .009) than regimens without pemetrexed. Patients with exon 20 insertions had a poor response to TKIs. However, the mutation Ala763_Tyr764insPheGlnGluAla (A763_Y764 insFQEA) was related to a favorable response to TKIs.\nCONCLUSION: Exon 20 insertion EGFR mutations comprised a considerable group of the entire population of patients with EGFR mutations. Different first-line treatments and variants of the exon 20 insertions might be related to different outcomes in advanced NSCLC patients.","container-title":"Clinical Lung Cancer","DOI":"10.1016/j.cllc.2019.06.018","ISSN":"1938-0690","issue":"6","journalAbbreviation":"Clin Lung Cancer","language":"eng","note":"PMID: 31327643","page":"e620-e630","source":"PubMed","title":"Effectiveness of Treatments for Advanced Non-Small-Cell Lung Cancer With Exon 20 Insertion Epidermal Growth Factor Receptor Mutations","volume":"20","author":[{"family":"Wu","given":"Jenn-Yu"},{"family":"Yu","given":"Chong-Jen"},{"family":"Shih","given":"Jin-Yuan"}],"issued":{"date-parts":[["2019",11]]}}}],"schema":"https://github.com/citation-style-language/schema/raw/master/csl-citation.json"} </w:instrText>
      </w:r>
      <w:r w:rsidR="00364462" w:rsidRPr="007A7BA2">
        <w:rPr>
          <w:rFonts w:ascii="Times New Roman" w:hAnsi="Times New Roman" w:cs="Times New Roman"/>
          <w:sz w:val="24"/>
          <w:szCs w:val="24"/>
        </w:rPr>
        <w:fldChar w:fldCharType="separate"/>
      </w:r>
      <w:r w:rsidR="00364462" w:rsidRPr="007A7BA2">
        <w:rPr>
          <w:rFonts w:ascii="Times New Roman" w:hAnsi="Times New Roman" w:cs="Times New Roman"/>
          <w:sz w:val="24"/>
          <w:szCs w:val="24"/>
          <w:vertAlign w:val="superscript"/>
        </w:rPr>
        <w:t>14</w:t>
      </w:r>
      <w:r w:rsidR="00364462" w:rsidRPr="007A7BA2">
        <w:rPr>
          <w:rFonts w:ascii="Times New Roman" w:hAnsi="Times New Roman" w:cs="Times New Roman"/>
          <w:sz w:val="24"/>
          <w:szCs w:val="24"/>
        </w:rPr>
        <w:fldChar w:fldCharType="end"/>
      </w:r>
      <w:r w:rsidR="00364462" w:rsidRPr="007A7BA2">
        <w:rPr>
          <w:rFonts w:ascii="Times New Roman" w:hAnsi="Times New Roman" w:cs="Times New Roman"/>
          <w:sz w:val="24"/>
          <w:szCs w:val="24"/>
        </w:rPr>
        <w:t xml:space="preserve"> Theo </w:t>
      </w:r>
      <w:r w:rsidR="00E64F59" w:rsidRPr="007A7BA2">
        <w:rPr>
          <w:rFonts w:ascii="Times New Roman" w:hAnsi="Times New Roman" w:cs="Times New Roman"/>
          <w:sz w:val="24"/>
          <w:szCs w:val="24"/>
        </w:rPr>
        <w:t>nghiên cứu của Morita, ORR và mPFS của liệ</w:t>
      </w:r>
      <w:r w:rsidR="00364462" w:rsidRPr="007A7BA2">
        <w:rPr>
          <w:rFonts w:ascii="Times New Roman" w:hAnsi="Times New Roman" w:cs="Times New Roman"/>
          <w:sz w:val="24"/>
          <w:szCs w:val="24"/>
        </w:rPr>
        <w:t>u pháp hóa chất bước một</w:t>
      </w:r>
      <w:r w:rsidR="00E64F59" w:rsidRPr="007A7BA2">
        <w:rPr>
          <w:rFonts w:ascii="Times New Roman" w:hAnsi="Times New Roman" w:cs="Times New Roman"/>
          <w:sz w:val="24"/>
          <w:szCs w:val="24"/>
        </w:rPr>
        <w:t xml:space="preserve"> platinum ở những bệnh nhân có chèn exon 20 là 11,8% (95% CI 1,5–</w:t>
      </w:r>
      <w:r w:rsidR="00364462" w:rsidRP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36,4) và 8,9 tháng (khoảng tin cậ</w:t>
      </w:r>
      <w:r w:rsidR="00364462" w:rsidRPr="007A7BA2">
        <w:rPr>
          <w:rFonts w:ascii="Times New Roman" w:hAnsi="Times New Roman" w:cs="Times New Roman"/>
          <w:sz w:val="24"/>
          <w:szCs w:val="24"/>
        </w:rPr>
        <w:t xml:space="preserve">y 95% [CI] 5,0–17,3). </w:t>
      </w:r>
      <w:r w:rsidR="00364462" w:rsidRPr="007A7BA2">
        <w:rPr>
          <w:rFonts w:ascii="Times New Roman" w:hAnsi="Times New Roman" w:cs="Times New Roman"/>
          <w:sz w:val="24"/>
          <w:szCs w:val="24"/>
        </w:rPr>
        <w:fldChar w:fldCharType="begin"/>
      </w:r>
      <w:r w:rsidR="00364462" w:rsidRPr="007A7BA2">
        <w:rPr>
          <w:rFonts w:ascii="Times New Roman" w:hAnsi="Times New Roman" w:cs="Times New Roman"/>
          <w:sz w:val="24"/>
          <w:szCs w:val="24"/>
        </w:rPr>
        <w:instrText xml:space="preserve"> ADDIN ZOTERO_ITEM CSL_CITATION {"citationID":"EfuiwRuP","properties":{"formattedCitation":"\\super 10\\nosupersub{}","plainCitation":"10","noteIndex":0},"citationItems":[{"id":173,"uris":["http://zotero.org/users/12066239/items/XNHT8D4L"],"itemData":{"id":173,"type":"article-journal","abstract":"Epidermal growth factor receptor (EGFR) exon 20 insertion mutations (Exon20ins) account for 4–12% of all EGFR mutations in non-small cell lung cancer (NSCLC) patients. Data on the differences in clinical characteristics between patients with Exon20ins and major mutations (M-mut) such as exon 19 deletion and L858R are limited. We retrospectively reviewed advanced NSCLC patients with EGFR mutations, who were treated with systemic therapy between January 2011 and December 2019. We identified 23 patients with Exon20ins and 534 patients with M-mut. In Exon20ins patients, the median age was 60 (range 27–88) years, and females and never-smokers were predominant. Clinical characteristics were similar in the two groups. In Exon20ins patients, 17 patients received platinum doublet as first-line therapy, and the overall response rate (ORR) and median progression-free survival (mPFS) were 11.8% and 8.9 months. Additionally, seven patients received conventional EGFR-tyrosine kinase inhibitors (TKIs), and eight patients anti-PD-1 antibodies in any-line therapy. ORR and mPFS of EGFR-TKIs and anti-PD-1 antibodies were 0%, 2.2 months and 25%, 3.1 months, respectively. Overall survival was significantly shorter in Exon20ins patients than in M-mut patients (29.3 vs. 43.4 months, p = 0.04). The clinical outcomes in Exon20ins patients were not satisfactory compared to M-mut patients.","container-title":"Scientific Reports","DOI":"10.1038/s41598-021-98275-3","ISSN":"2045-2322","journalAbbreviation":"Sci Rep","note":"PMID: 34548567\nPMCID: PMC8455549","page":"18762","source":"PubMed Central","title":"Clinical characteristics of advanced non-small cell lung cancer patients with EGFR exon 20 insertions","volume":"11","author":[{"family":"Morita","given":"Chie"},{"family":"Yoshida","given":"Tatsuya"},{"family":"Shirasawa","given":"Masayuki"},{"family":"Masuda","given":"Ken"},{"family":"Matsumoto","given":"Yuji"},{"family":"Shinno","given":"Yuki"},{"family":"Yagishita","given":"Shigehiro"},{"family":"Okuma","given":"Yusuke"},{"family":"Goto","given":"Yasushi"},{"family":"Horinouchi","given":"Hidehito"},{"family":"Yamamoto","given":"Noboru"},{"family":"Motoi","given":"Noriko"},{"family":"Yatabe","given":"Yasushi"},{"family":"Ohe","given":"Yuichiro"}],"issued":{"date-parts":[["2021",9,21]]}}}],"schema":"https://github.com/citation-style-language/schema/raw/master/csl-citation.json"} </w:instrText>
      </w:r>
      <w:r w:rsidR="00364462" w:rsidRPr="007A7BA2">
        <w:rPr>
          <w:rFonts w:ascii="Times New Roman" w:hAnsi="Times New Roman" w:cs="Times New Roman"/>
          <w:sz w:val="24"/>
          <w:szCs w:val="24"/>
        </w:rPr>
        <w:fldChar w:fldCharType="separate"/>
      </w:r>
      <w:r w:rsidR="00364462" w:rsidRPr="007A7BA2">
        <w:rPr>
          <w:rFonts w:ascii="Times New Roman" w:hAnsi="Times New Roman" w:cs="Times New Roman"/>
          <w:sz w:val="24"/>
          <w:szCs w:val="24"/>
          <w:vertAlign w:val="superscript"/>
        </w:rPr>
        <w:t>10</w:t>
      </w:r>
      <w:r w:rsidR="00364462" w:rsidRPr="007A7BA2">
        <w:rPr>
          <w:rFonts w:ascii="Times New Roman" w:hAnsi="Times New Roman" w:cs="Times New Roman"/>
          <w:sz w:val="24"/>
          <w:szCs w:val="24"/>
        </w:rPr>
        <w:fldChar w:fldCharType="end"/>
      </w:r>
      <w:r w:rsidR="00364462" w:rsidRP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So với các phương pháp điều trị khác, một nghiên cứu gần đây đã so sánh</w:t>
      </w:r>
      <w:r w:rsidR="00364462" w:rsidRP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 xml:space="preserve">hóa trị liệu với hóa trị liệu cộng với amivantamab ở bệnh nhân </w:t>
      </w:r>
      <w:r w:rsidR="00364462" w:rsidRPr="007A7BA2">
        <w:rPr>
          <w:rFonts w:ascii="Times New Roman" w:hAnsi="Times New Roman" w:cs="Times New Roman"/>
          <w:sz w:val="24"/>
          <w:szCs w:val="24"/>
        </w:rPr>
        <w:t xml:space="preserve">UTPKTBN </w:t>
      </w:r>
      <w:r w:rsidR="007A7BA2">
        <w:rPr>
          <w:rFonts w:ascii="Times New Roman" w:hAnsi="Times New Roman" w:cs="Times New Roman"/>
          <w:sz w:val="24"/>
          <w:szCs w:val="24"/>
        </w:rPr>
        <w:t>có EGFR</w:t>
      </w:r>
      <w:r w:rsidR="00E64F59" w:rsidRPr="007A7BA2">
        <w:rPr>
          <w:rFonts w:ascii="Times New Roman" w:hAnsi="Times New Roman" w:cs="Times New Roman"/>
          <w:sz w:val="24"/>
          <w:szCs w:val="24"/>
        </w:rPr>
        <w:t>ex20in</w:t>
      </w:r>
      <w:r w:rsidR="007A7BA2">
        <w:rPr>
          <w:rFonts w:ascii="Times New Roman" w:hAnsi="Times New Roman" w:cs="Times New Roman"/>
          <w:sz w:val="24"/>
          <w:szCs w:val="24"/>
        </w:rPr>
        <w:t>s</w:t>
      </w:r>
      <w:r w:rsidR="00E64F59" w:rsidRPr="007A7BA2">
        <w:rPr>
          <w:rFonts w:ascii="Times New Roman" w:hAnsi="Times New Roman" w:cs="Times New Roman"/>
          <w:sz w:val="24"/>
          <w:szCs w:val="24"/>
        </w:rPr>
        <w:t xml:space="preserve"> cho thấy thời gian sống không tiến triển</w:t>
      </w:r>
      <w:r w:rsidR="00364462" w:rsidRP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dài hơn đáng kể ở nhóm amivantamab</w:t>
      </w:r>
      <w:r w:rsidR="00364462" w:rsidRPr="007A7BA2">
        <w:rPr>
          <w:rFonts w:ascii="Times New Roman" w:hAnsi="Times New Roman" w:cs="Times New Roman"/>
          <w:sz w:val="24"/>
          <w:szCs w:val="24"/>
        </w:rPr>
        <w:t xml:space="preserve"> kết hợp hóa chất</w:t>
      </w:r>
      <w:r w:rsidR="00E64F59" w:rsidRPr="007A7BA2">
        <w:rPr>
          <w:rFonts w:ascii="Times New Roman" w:hAnsi="Times New Roman" w:cs="Times New Roman"/>
          <w:sz w:val="24"/>
          <w:szCs w:val="24"/>
        </w:rPr>
        <w:t xml:space="preserve"> so vớ</w:t>
      </w:r>
      <w:r w:rsidR="00364462" w:rsidRPr="007A7BA2">
        <w:rPr>
          <w:rFonts w:ascii="Times New Roman" w:hAnsi="Times New Roman" w:cs="Times New Roman"/>
          <w:sz w:val="24"/>
          <w:szCs w:val="24"/>
        </w:rPr>
        <w:t xml:space="preserve">i nhóm hóa chất </w:t>
      </w:r>
      <w:r w:rsidR="00E64F59" w:rsidRPr="007A7BA2">
        <w:rPr>
          <w:rFonts w:ascii="Times New Roman" w:hAnsi="Times New Roman" w:cs="Times New Roman"/>
          <w:sz w:val="24"/>
          <w:szCs w:val="24"/>
        </w:rPr>
        <w:t>(HR= 0,40; 95% CI, 0,30 đến 0,53; P&lt;0,001).</w:t>
      </w:r>
      <w:r w:rsidR="00364462" w:rsidRPr="007A7BA2">
        <w:rPr>
          <w:rFonts w:ascii="Times New Roman" w:hAnsi="Times New Roman" w:cs="Times New Roman"/>
          <w:sz w:val="24"/>
          <w:szCs w:val="24"/>
        </w:rPr>
        <w:t xml:space="preserve"> </w:t>
      </w:r>
      <w:r w:rsidR="00364462" w:rsidRPr="007A7BA2">
        <w:rPr>
          <w:rFonts w:ascii="Times New Roman" w:hAnsi="Times New Roman" w:cs="Times New Roman"/>
          <w:sz w:val="24"/>
          <w:szCs w:val="24"/>
        </w:rPr>
        <w:fldChar w:fldCharType="begin"/>
      </w:r>
      <w:r w:rsidR="00364462" w:rsidRPr="007A7BA2">
        <w:rPr>
          <w:rFonts w:ascii="Times New Roman" w:hAnsi="Times New Roman" w:cs="Times New Roman"/>
          <w:sz w:val="24"/>
          <w:szCs w:val="24"/>
        </w:rPr>
        <w:instrText xml:space="preserve"> ADDIN ZOTERO_ITEM CSL_CITATION {"citationID":"41Fe7jUD","properties":{"formattedCitation":"\\super 9\\nosupersub{}","plainCitation":"9","noteIndex":0},"citationItems":[{"id":249,"uris":["http://zotero.org/users/12066239/items/KDR6K664"],"itemData":{"id":249,"type":"webpage","title":"Amivantamab plus Chemotherapy in NSCLC with EGFR Exon 20 Insertions | NEJM","URL":"https://www.nejm.org/doi/full/10.1056/NEJMoa2306441","accessed":{"date-parts":[["2023",11,24]]}}}],"schema":"https://github.com/citation-style-language/schema/raw/master/csl-citation.json"} </w:instrText>
      </w:r>
      <w:r w:rsidR="00364462" w:rsidRPr="007A7BA2">
        <w:rPr>
          <w:rFonts w:ascii="Times New Roman" w:hAnsi="Times New Roman" w:cs="Times New Roman"/>
          <w:sz w:val="24"/>
          <w:szCs w:val="24"/>
        </w:rPr>
        <w:fldChar w:fldCharType="separate"/>
      </w:r>
      <w:r w:rsidR="00364462" w:rsidRPr="007A7BA2">
        <w:rPr>
          <w:rFonts w:ascii="Times New Roman" w:hAnsi="Times New Roman" w:cs="Times New Roman"/>
          <w:sz w:val="24"/>
          <w:szCs w:val="24"/>
          <w:vertAlign w:val="superscript"/>
        </w:rPr>
        <w:t>9</w:t>
      </w:r>
      <w:r w:rsidR="00364462" w:rsidRPr="007A7BA2">
        <w:rPr>
          <w:rFonts w:ascii="Times New Roman" w:hAnsi="Times New Roman" w:cs="Times New Roman"/>
          <w:sz w:val="24"/>
          <w:szCs w:val="24"/>
        </w:rPr>
        <w:fldChar w:fldCharType="end"/>
      </w:r>
      <w:r w:rsidR="00364462" w:rsidRP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 xml:space="preserve"> Sau 18</w:t>
      </w:r>
      <w:r w:rsid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tháng, PFS được báo cáo ở 31% bệnh nhân trong nhóm amivantamab</w:t>
      </w:r>
      <w:r w:rsidR="007A7BA2">
        <w:rPr>
          <w:rFonts w:ascii="Times New Roman" w:hAnsi="Times New Roman" w:cs="Times New Roman"/>
          <w:sz w:val="24"/>
          <w:szCs w:val="24"/>
        </w:rPr>
        <w:t xml:space="preserve"> kết hợp</w:t>
      </w:r>
      <w:r w:rsidR="00364462" w:rsidRPr="007A7BA2">
        <w:rPr>
          <w:rFonts w:ascii="Times New Roman" w:hAnsi="Times New Roman" w:cs="Times New Roman"/>
          <w:sz w:val="24"/>
          <w:szCs w:val="24"/>
        </w:rPr>
        <w:t xml:space="preserve"> hóa trị</w:t>
      </w:r>
      <w:r w:rsidR="00E64F59" w:rsidRPr="007A7BA2">
        <w:rPr>
          <w:rFonts w:ascii="Times New Roman" w:hAnsi="Times New Roman" w:cs="Times New Roman"/>
          <w:sz w:val="24"/>
          <w:szCs w:val="24"/>
        </w:rPr>
        <w:t xml:space="preserve"> và ở 3% bệnh nhân trong nhóm hóa trị</w:t>
      </w:r>
      <w:r w:rsidR="007A7BA2">
        <w:rPr>
          <w:rFonts w:ascii="Times New Roman" w:hAnsi="Times New Roman" w:cs="Times New Roman"/>
          <w:sz w:val="24"/>
          <w:szCs w:val="24"/>
        </w:rPr>
        <w:t xml:space="preserve"> đơn thuần</w:t>
      </w:r>
      <w:r w:rsidR="00364462" w:rsidRPr="007A7BA2">
        <w:rPr>
          <w:rFonts w:ascii="Times New Roman" w:hAnsi="Times New Roman" w:cs="Times New Roman"/>
          <w:sz w:val="24"/>
          <w:szCs w:val="24"/>
        </w:rPr>
        <w:t xml:space="preserve">. PFS là </w:t>
      </w:r>
      <w:r w:rsidR="00E64F59" w:rsidRPr="007A7BA2">
        <w:rPr>
          <w:rFonts w:ascii="Times New Roman" w:hAnsi="Times New Roman" w:cs="Times New Roman"/>
          <w:sz w:val="24"/>
          <w:szCs w:val="24"/>
        </w:rPr>
        <w:t>12,9 tháng (95% CI, 11,4 đến 16,7) vớ</w:t>
      </w:r>
      <w:r w:rsidR="007A7BA2">
        <w:rPr>
          <w:rFonts w:ascii="Times New Roman" w:hAnsi="Times New Roman" w:cs="Times New Roman"/>
          <w:sz w:val="24"/>
          <w:szCs w:val="24"/>
        </w:rPr>
        <w:t xml:space="preserve">i amivantamab kết hợp </w:t>
      </w:r>
      <w:r w:rsidR="00E64F59" w:rsidRPr="007A7BA2">
        <w:rPr>
          <w:rFonts w:ascii="Times New Roman" w:hAnsi="Times New Roman" w:cs="Times New Roman"/>
          <w:sz w:val="24"/>
          <w:szCs w:val="24"/>
        </w:rPr>
        <w:t>hóa trị và 6,9</w:t>
      </w:r>
      <w:r w:rsidR="00364462" w:rsidRP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 xml:space="preserve">tháng (95% CI, 6,2 đến 8,3) với hóa trị </w:t>
      </w:r>
      <w:r w:rsidR="007A7BA2">
        <w:rPr>
          <w:rFonts w:ascii="Times New Roman" w:hAnsi="Times New Roman" w:cs="Times New Roman"/>
          <w:sz w:val="24"/>
          <w:szCs w:val="24"/>
        </w:rPr>
        <w:t>đơn thuần</w:t>
      </w:r>
      <w:r w:rsidR="00E64F59" w:rsidRPr="007A7BA2">
        <w:rPr>
          <w:rFonts w:ascii="Times New Roman" w:hAnsi="Times New Roman" w:cs="Times New Roman"/>
          <w:sz w:val="24"/>
          <w:szCs w:val="24"/>
        </w:rPr>
        <w:t xml:space="preserve"> (HR= 0,38; 95% CI, 0,29 đến</w:t>
      </w:r>
      <w:r w:rsidR="00364462" w:rsidRP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0,51). Đáp ứng khách quan được báo cáo ở 73% bệnh nhân (95% CI, 65</w:t>
      </w:r>
      <w:r w:rsidR="00364462" w:rsidRPr="007A7BA2">
        <w:rPr>
          <w:rFonts w:ascii="Times New Roman" w:hAnsi="Times New Roman" w:cs="Times New Roman"/>
          <w:sz w:val="24"/>
          <w:szCs w:val="24"/>
        </w:rPr>
        <w:t xml:space="preserve"> </w:t>
      </w:r>
      <w:r w:rsidR="00E64F59" w:rsidRPr="007A7BA2">
        <w:rPr>
          <w:rFonts w:ascii="Times New Roman" w:hAnsi="Times New Roman" w:cs="Times New Roman"/>
          <w:sz w:val="24"/>
          <w:szCs w:val="24"/>
        </w:rPr>
        <w:t>đế</w:t>
      </w:r>
      <w:r w:rsidR="007A7BA2">
        <w:rPr>
          <w:rFonts w:ascii="Times New Roman" w:hAnsi="Times New Roman" w:cs="Times New Roman"/>
          <w:sz w:val="24"/>
          <w:szCs w:val="24"/>
        </w:rPr>
        <w:t xml:space="preserve">n 80) trong nhóm amivantamab kết hợp </w:t>
      </w:r>
      <w:r w:rsidR="00E64F59" w:rsidRPr="007A7BA2">
        <w:rPr>
          <w:rFonts w:ascii="Times New Roman" w:hAnsi="Times New Roman" w:cs="Times New Roman"/>
          <w:sz w:val="24"/>
          <w:szCs w:val="24"/>
        </w:rPr>
        <w:t>hóa trị</w:t>
      </w:r>
      <w:r w:rsidR="00E22DA5">
        <w:rPr>
          <w:rFonts w:ascii="Times New Roman" w:hAnsi="Times New Roman" w:cs="Times New Roman"/>
          <w:sz w:val="24"/>
          <w:szCs w:val="24"/>
        </w:rPr>
        <w:t xml:space="preserve"> và</w:t>
      </w:r>
      <w:r w:rsidR="00E64F59" w:rsidRPr="007A7BA2">
        <w:rPr>
          <w:rFonts w:ascii="Times New Roman" w:hAnsi="Times New Roman" w:cs="Times New Roman"/>
          <w:sz w:val="24"/>
          <w:szCs w:val="24"/>
        </w:rPr>
        <w:t xml:space="preserve"> 47% (95% CI, 39 đến 56) trong số những bệnh nhân trong nhóm hóa trị</w:t>
      </w:r>
      <w:r w:rsidR="00E22DA5">
        <w:rPr>
          <w:rFonts w:ascii="Times New Roman" w:hAnsi="Times New Roman" w:cs="Times New Roman"/>
          <w:sz w:val="24"/>
          <w:szCs w:val="24"/>
        </w:rPr>
        <w:t xml:space="preserve"> liệu đơn thuần</w:t>
      </w:r>
      <w:r w:rsidR="00E64F59" w:rsidRPr="007A7BA2">
        <w:rPr>
          <w:rFonts w:ascii="Times New Roman" w:hAnsi="Times New Roman" w:cs="Times New Roman"/>
          <w:sz w:val="24"/>
          <w:szCs w:val="24"/>
        </w:rPr>
        <w:t xml:space="preserve"> (RR, 1,50; 95% CI, 1,32 đến 1,68; P &lt;0,001).</w:t>
      </w:r>
      <w:r w:rsidR="00364462" w:rsidRPr="007A7BA2">
        <w:rPr>
          <w:rFonts w:ascii="Times New Roman" w:hAnsi="Times New Roman" w:cs="Times New Roman"/>
          <w:sz w:val="24"/>
          <w:szCs w:val="24"/>
        </w:rPr>
        <w:t xml:space="preserve"> </w:t>
      </w:r>
      <w:r w:rsidR="00364462" w:rsidRPr="007A7BA2">
        <w:rPr>
          <w:rFonts w:ascii="Times New Roman" w:hAnsi="Times New Roman" w:cs="Times New Roman"/>
          <w:sz w:val="24"/>
          <w:szCs w:val="24"/>
        </w:rPr>
        <w:fldChar w:fldCharType="begin"/>
      </w:r>
      <w:r w:rsidR="00364462" w:rsidRPr="007A7BA2">
        <w:rPr>
          <w:rFonts w:ascii="Times New Roman" w:hAnsi="Times New Roman" w:cs="Times New Roman"/>
          <w:sz w:val="24"/>
          <w:szCs w:val="24"/>
        </w:rPr>
        <w:instrText xml:space="preserve"> ADDIN ZOTERO_ITEM CSL_CITATION {"citationID":"gaI1qvo0","properties":{"formattedCitation":"\\super 9\\nosupersub{}","plainCitation":"9","noteIndex":0},"citationItems":[{"id":249,"uris":["http://zotero.org/users/12066239/items/KDR6K664"],"itemData":{"id":249,"type":"webpage","title":"Amivantamab plus Chemotherapy in NSCLC with EGFR Exon 20 Insertions | NEJM","URL":"https://www.nejm.org/doi/full/10.1056/NEJMoa2306441","accessed":{"date-parts":[["2023",11,24]]}}}],"schema":"https://github.com/citation-style-language/schema/raw/master/csl-citation.json"} </w:instrText>
      </w:r>
      <w:r w:rsidR="00364462" w:rsidRPr="007A7BA2">
        <w:rPr>
          <w:rFonts w:ascii="Times New Roman" w:hAnsi="Times New Roman" w:cs="Times New Roman"/>
          <w:sz w:val="24"/>
          <w:szCs w:val="24"/>
        </w:rPr>
        <w:fldChar w:fldCharType="separate"/>
      </w:r>
      <w:r w:rsidR="00364462" w:rsidRPr="007A7BA2">
        <w:rPr>
          <w:rFonts w:ascii="Times New Roman" w:hAnsi="Times New Roman" w:cs="Times New Roman"/>
          <w:sz w:val="24"/>
          <w:szCs w:val="24"/>
          <w:vertAlign w:val="superscript"/>
        </w:rPr>
        <w:t>9</w:t>
      </w:r>
      <w:r w:rsidR="00364462" w:rsidRPr="007A7BA2">
        <w:rPr>
          <w:rFonts w:ascii="Times New Roman" w:hAnsi="Times New Roman" w:cs="Times New Roman"/>
          <w:sz w:val="24"/>
          <w:szCs w:val="24"/>
        </w:rPr>
        <w:fldChar w:fldCharType="end"/>
      </w:r>
    </w:p>
    <w:p w:rsidR="00E64F59" w:rsidRPr="007A7BA2" w:rsidRDefault="00323C3A" w:rsidP="00E22DA5">
      <w:pPr>
        <w:spacing w:after="0" w:line="240" w:lineRule="auto"/>
        <w:ind w:firstLine="720"/>
        <w:jc w:val="both"/>
        <w:rPr>
          <w:rFonts w:ascii="Times New Roman" w:hAnsi="Times New Roman" w:cs="Times New Roman"/>
          <w:sz w:val="24"/>
          <w:szCs w:val="24"/>
        </w:rPr>
      </w:pPr>
      <w:r w:rsidRPr="007A7BA2">
        <w:rPr>
          <w:rFonts w:ascii="Times New Roman" w:hAnsi="Times New Roman" w:cs="Times New Roman"/>
          <w:sz w:val="24"/>
          <w:szCs w:val="24"/>
        </w:rPr>
        <w:t>Nghiên cứu của chúng tôi phát hiện ra rằng phần lớn bệnh nhân có ít nhất một</w:t>
      </w:r>
      <w:r w:rsidR="007A7BA2">
        <w:rPr>
          <w:rFonts w:ascii="Times New Roman" w:hAnsi="Times New Roman" w:cs="Times New Roman"/>
          <w:sz w:val="24"/>
          <w:szCs w:val="24"/>
        </w:rPr>
        <w:t xml:space="preserve"> </w:t>
      </w:r>
      <w:r w:rsidRPr="007A7BA2">
        <w:rPr>
          <w:rFonts w:ascii="Times New Roman" w:hAnsi="Times New Roman" w:cs="Times New Roman"/>
          <w:sz w:val="24"/>
          <w:szCs w:val="24"/>
        </w:rPr>
        <w:t>biến cố bất lợi. Các biến cố bất lợi phổ biến nhất là giảm bạch cầu trung tính chiếm 58% bệnh nhân và độc tính thần kinh ngoại vi (44%), thiếu máu (38%) và buồn nôn (42%). Các biến cố bất lợi phổ biến nhất ở mức độ 3 trở lên là giảm bạch cầu trung tính (25%) và giảm tiểu cầu (6%), thiếu máu (8%). Các biến cố bất lợi dẫn đến giảm liều và ngừng thuốc đã được báo cáo ở 17% và 8%</w:t>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bệnh nhân.</w:t>
      </w:r>
      <w:r w:rsidR="00403608" w:rsidRPr="007A7BA2">
        <w:rPr>
          <w:rFonts w:ascii="Times New Roman" w:hAnsi="Times New Roman" w:cs="Times New Roman"/>
          <w:sz w:val="24"/>
          <w:szCs w:val="24"/>
        </w:rPr>
        <w:t xml:space="preserve"> Kết quả tương tự các nghiên cứu khác. </w:t>
      </w:r>
      <w:r w:rsidRPr="007A7BA2">
        <w:rPr>
          <w:rFonts w:ascii="Times New Roman" w:hAnsi="Times New Roman" w:cs="Times New Roman"/>
          <w:sz w:val="24"/>
          <w:szCs w:val="24"/>
        </w:rPr>
        <w:t>Một nghiên cứu trên ex20ins cũng cho thấy rằng phần lớn bệnh nhân trong thử nghiệ</w:t>
      </w:r>
      <w:r w:rsidR="00403608" w:rsidRPr="007A7BA2">
        <w:rPr>
          <w:rFonts w:ascii="Times New Roman" w:hAnsi="Times New Roman" w:cs="Times New Roman"/>
          <w:sz w:val="24"/>
          <w:szCs w:val="24"/>
        </w:rPr>
        <w:t xml:space="preserve">m </w:t>
      </w:r>
      <w:r w:rsidRPr="007A7BA2">
        <w:rPr>
          <w:rFonts w:ascii="Times New Roman" w:hAnsi="Times New Roman" w:cs="Times New Roman"/>
          <w:sz w:val="24"/>
          <w:szCs w:val="24"/>
        </w:rPr>
        <w:t>có ít nhất một biến cố bất lợi. Các biến cố bất lợi phổ biến nhất được</w:t>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báo cáo là thiếu máu (55%), giảm bạch cầu trung tính (45%) và buồ</w:t>
      </w:r>
      <w:r w:rsidR="00403608" w:rsidRPr="007A7BA2">
        <w:rPr>
          <w:rFonts w:ascii="Times New Roman" w:hAnsi="Times New Roman" w:cs="Times New Roman"/>
          <w:sz w:val="24"/>
          <w:szCs w:val="24"/>
        </w:rPr>
        <w:t xml:space="preserve">n nôn (42%) trong </w:t>
      </w:r>
      <w:r w:rsidRPr="007A7BA2">
        <w:rPr>
          <w:rFonts w:ascii="Times New Roman" w:hAnsi="Times New Roman" w:cs="Times New Roman"/>
          <w:sz w:val="24"/>
          <w:szCs w:val="24"/>
        </w:rPr>
        <w:t xml:space="preserve">nhóm hóa </w:t>
      </w:r>
      <w:r w:rsidRPr="007A7BA2">
        <w:rPr>
          <w:rFonts w:ascii="Times New Roman" w:hAnsi="Times New Roman" w:cs="Times New Roman"/>
          <w:sz w:val="24"/>
          <w:szCs w:val="24"/>
        </w:rPr>
        <w:lastRenderedPageBreak/>
        <w:t>trị. Tỷ lệ phản ứng liên quan đến truyền dịch là 1% trong nhóm hóa trị. Tỷ lệ giảm bạch cầu trung tính do sốt là 2% trong</w:t>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nhóm hóa trị</w:t>
      </w:r>
      <w:r w:rsidR="00403608" w:rsidRPr="007A7BA2">
        <w:rPr>
          <w:rFonts w:ascii="Times New Roman" w:hAnsi="Times New Roman" w:cs="Times New Roman"/>
          <w:sz w:val="24"/>
          <w:szCs w:val="24"/>
        </w:rPr>
        <w:t>. Độc tính độ</w:t>
      </w:r>
      <w:r w:rsidRPr="007A7BA2">
        <w:rPr>
          <w:rFonts w:ascii="Times New Roman" w:hAnsi="Times New Roman" w:cs="Times New Roman"/>
          <w:sz w:val="24"/>
          <w:szCs w:val="24"/>
        </w:rPr>
        <w:t xml:space="preserve"> 3 phổ biến nhất là giảm bạch cầu trung tính (23%), thiếu máu</w:t>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(12%) và giảm tiểu cầu (10%) khi dùng hóa trị. Các biến cố bất lợi nghiêm trọng</w:t>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là 31% trong nhóm hóa trị. Các biến cố bất lợi dẫn đến gián đoạn</w:t>
      </w:r>
      <w:r w:rsidR="00E22DA5">
        <w:rPr>
          <w:rFonts w:ascii="Times New Roman" w:hAnsi="Times New Roman" w:cs="Times New Roman"/>
          <w:sz w:val="24"/>
          <w:szCs w:val="24"/>
        </w:rPr>
        <w:t xml:space="preserve"> </w:t>
      </w:r>
      <w:r w:rsidRPr="007A7BA2">
        <w:rPr>
          <w:rFonts w:ascii="Times New Roman" w:hAnsi="Times New Roman" w:cs="Times New Roman"/>
          <w:sz w:val="24"/>
          <w:szCs w:val="24"/>
        </w:rPr>
        <w:t>liều, giảm liều và ngừng liều lần lượt là (36%), 35 (23%)</w:t>
      </w:r>
      <w:r w:rsidR="00403608" w:rsidRPr="007A7BA2">
        <w:rPr>
          <w:rFonts w:ascii="Times New Roman" w:hAnsi="Times New Roman" w:cs="Times New Roman"/>
          <w:sz w:val="24"/>
          <w:szCs w:val="24"/>
        </w:rPr>
        <w:t xml:space="preserve"> </w:t>
      </w:r>
      <w:r w:rsidR="00853902">
        <w:rPr>
          <w:rFonts w:ascii="Times New Roman" w:hAnsi="Times New Roman" w:cs="Times New Roman"/>
          <w:sz w:val="24"/>
          <w:szCs w:val="24"/>
        </w:rPr>
        <w:t>và 16 (10%)</w:t>
      </w:r>
      <w:r w:rsidR="00853902" w:rsidRPr="00853902">
        <w:rPr>
          <w:rFonts w:ascii="Times New Roman" w:hAnsi="Times New Roman" w:cs="Times New Roman"/>
          <w:sz w:val="24"/>
          <w:szCs w:val="24"/>
        </w:rPr>
        <w:t>.</w:t>
      </w:r>
      <w:r w:rsidRPr="007A7BA2">
        <w:rPr>
          <w:rFonts w:ascii="Times New Roman" w:hAnsi="Times New Roman" w:cs="Times New Roman"/>
          <w:sz w:val="24"/>
          <w:szCs w:val="24"/>
        </w:rPr>
        <w:t xml:space="preserve"> Tử vong trong vòng 30 ngày sau liều cuối cùng của thuốc thử nghiệm</w:t>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xảy ra ở 4 bệ</w:t>
      </w:r>
      <w:r w:rsidR="00403608" w:rsidRPr="007A7BA2">
        <w:rPr>
          <w:rFonts w:ascii="Times New Roman" w:hAnsi="Times New Roman" w:cs="Times New Roman"/>
          <w:sz w:val="24"/>
          <w:szCs w:val="24"/>
        </w:rPr>
        <w:t xml:space="preserve">nh nhân (3%). </w:t>
      </w:r>
      <w:r w:rsidR="00403608" w:rsidRPr="007A7BA2">
        <w:rPr>
          <w:rFonts w:ascii="Times New Roman" w:hAnsi="Times New Roman" w:cs="Times New Roman"/>
          <w:sz w:val="24"/>
          <w:szCs w:val="24"/>
        </w:rPr>
        <w:fldChar w:fldCharType="begin"/>
      </w:r>
      <w:r w:rsidR="00403608" w:rsidRPr="007A7BA2">
        <w:rPr>
          <w:rFonts w:ascii="Times New Roman" w:hAnsi="Times New Roman" w:cs="Times New Roman"/>
          <w:sz w:val="24"/>
          <w:szCs w:val="24"/>
        </w:rPr>
        <w:instrText xml:space="preserve"> ADDIN ZOTERO_ITEM CSL_CITATION {"citationID":"zJUW7IRV","properties":{"formattedCitation":"\\super 9\\nosupersub{}","plainCitation":"9","noteIndex":0},"citationItems":[{"id":249,"uris":["http://zotero.org/users/12066239/items/KDR6K664"],"itemData":{"id":249,"type":"webpage","title":"Amivantamab plus Chemotherapy in NSCLC with EGFR Exon 20 Insertions | NEJM","URL":"https://www.nejm.org/doi/full/10.1056/NEJMoa2306441","accessed":{"date-parts":[["2023",11,24]]}}}],"schema":"https://github.com/citation-style-language/schema/raw/master/csl-citation.json"} </w:instrText>
      </w:r>
      <w:r w:rsidR="00403608" w:rsidRPr="007A7BA2">
        <w:rPr>
          <w:rFonts w:ascii="Times New Roman" w:hAnsi="Times New Roman" w:cs="Times New Roman"/>
          <w:sz w:val="24"/>
          <w:szCs w:val="24"/>
        </w:rPr>
        <w:fldChar w:fldCharType="separate"/>
      </w:r>
      <w:r w:rsidR="00403608" w:rsidRPr="007A7BA2">
        <w:rPr>
          <w:rFonts w:ascii="Times New Roman" w:hAnsi="Times New Roman" w:cs="Times New Roman"/>
          <w:sz w:val="24"/>
          <w:szCs w:val="24"/>
          <w:vertAlign w:val="superscript"/>
        </w:rPr>
        <w:t>9</w:t>
      </w:r>
      <w:r w:rsidR="00403608" w:rsidRPr="007A7BA2">
        <w:rPr>
          <w:rFonts w:ascii="Times New Roman" w:hAnsi="Times New Roman" w:cs="Times New Roman"/>
          <w:sz w:val="24"/>
          <w:szCs w:val="24"/>
        </w:rPr>
        <w:fldChar w:fldCharType="end"/>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So sánh với những bệ</w:t>
      </w:r>
      <w:r w:rsidR="00403608" w:rsidRPr="007A7BA2">
        <w:rPr>
          <w:rFonts w:ascii="Times New Roman" w:hAnsi="Times New Roman" w:cs="Times New Roman"/>
          <w:sz w:val="24"/>
          <w:szCs w:val="24"/>
        </w:rPr>
        <w:t>nh nhân UTPKTBN</w:t>
      </w:r>
      <w:r w:rsidRPr="007A7BA2">
        <w:rPr>
          <w:rFonts w:ascii="Times New Roman" w:hAnsi="Times New Roman" w:cs="Times New Roman"/>
          <w:sz w:val="24"/>
          <w:szCs w:val="24"/>
        </w:rPr>
        <w:t xml:space="preserve"> giai đoạn tiến </w:t>
      </w:r>
      <w:r w:rsidR="00403608" w:rsidRPr="007A7BA2">
        <w:rPr>
          <w:rFonts w:ascii="Times New Roman" w:hAnsi="Times New Roman" w:cs="Times New Roman"/>
          <w:sz w:val="24"/>
          <w:szCs w:val="24"/>
        </w:rPr>
        <w:t>xa</w:t>
      </w:r>
      <w:r w:rsidRPr="007A7BA2">
        <w:rPr>
          <w:rFonts w:ascii="Times New Roman" w:hAnsi="Times New Roman" w:cs="Times New Roman"/>
          <w:sz w:val="24"/>
          <w:szCs w:val="24"/>
        </w:rPr>
        <w:t xml:space="preserve"> được điều trị bằ</w:t>
      </w:r>
      <w:r w:rsidR="00403608" w:rsidRPr="007A7BA2">
        <w:rPr>
          <w:rFonts w:ascii="Times New Roman" w:hAnsi="Times New Roman" w:cs="Times New Roman"/>
          <w:sz w:val="24"/>
          <w:szCs w:val="24"/>
        </w:rPr>
        <w:t xml:space="preserve">ng </w:t>
      </w:r>
      <w:r w:rsidRPr="007A7BA2">
        <w:rPr>
          <w:rFonts w:ascii="Times New Roman" w:hAnsi="Times New Roman" w:cs="Times New Roman"/>
          <w:sz w:val="24"/>
          <w:szCs w:val="24"/>
        </w:rPr>
        <w:t>phác đồ paclitaxel</w:t>
      </w:r>
      <w:r w:rsidR="00E22DA5">
        <w:rPr>
          <w:rFonts w:ascii="Times New Roman" w:hAnsi="Times New Roman" w:cs="Times New Roman"/>
          <w:sz w:val="24"/>
          <w:szCs w:val="24"/>
        </w:rPr>
        <w:t xml:space="preserve"> </w:t>
      </w:r>
      <w:r w:rsidRPr="007A7BA2">
        <w:rPr>
          <w:rFonts w:ascii="Times New Roman" w:hAnsi="Times New Roman" w:cs="Times New Roman"/>
          <w:sz w:val="24"/>
          <w:szCs w:val="24"/>
        </w:rPr>
        <w:t>-</w:t>
      </w:r>
      <w:r w:rsidR="00E22DA5">
        <w:rPr>
          <w:rFonts w:ascii="Times New Roman" w:hAnsi="Times New Roman" w:cs="Times New Roman"/>
          <w:sz w:val="24"/>
          <w:szCs w:val="24"/>
        </w:rPr>
        <w:t xml:space="preserve"> </w:t>
      </w:r>
      <w:r w:rsidRPr="007A7BA2">
        <w:rPr>
          <w:rFonts w:ascii="Times New Roman" w:hAnsi="Times New Roman" w:cs="Times New Roman"/>
          <w:sz w:val="24"/>
          <w:szCs w:val="24"/>
        </w:rPr>
        <w:t>carboplatin, các biến cố bất lợi nghiêm trọng dẫn đến</w:t>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nhập viện xảy ra ở 13,1% bệnh nhân. Tỷ lệ độc</w:t>
      </w:r>
      <w:r w:rsidR="00E22DA5">
        <w:rPr>
          <w:rFonts w:ascii="Times New Roman" w:hAnsi="Times New Roman" w:cs="Times New Roman"/>
          <w:sz w:val="24"/>
          <w:szCs w:val="24"/>
        </w:rPr>
        <w:t xml:space="preserve"> tính</w:t>
      </w:r>
      <w:r w:rsidRPr="007A7BA2">
        <w:rPr>
          <w:rFonts w:ascii="Times New Roman" w:hAnsi="Times New Roman" w:cs="Times New Roman"/>
          <w:sz w:val="24"/>
          <w:szCs w:val="24"/>
        </w:rPr>
        <w:t xml:space="preserve"> thần</w:t>
      </w:r>
      <w:r w:rsidR="00403608" w:rsidRPr="007A7BA2">
        <w:rPr>
          <w:rFonts w:ascii="Times New Roman" w:hAnsi="Times New Roman" w:cs="Times New Roman"/>
          <w:sz w:val="24"/>
          <w:szCs w:val="24"/>
        </w:rPr>
        <w:t xml:space="preserve"> kinh ngoại vi</w:t>
      </w:r>
      <w:r w:rsidRPr="007A7BA2">
        <w:rPr>
          <w:rFonts w:ascii="Times New Roman" w:hAnsi="Times New Roman" w:cs="Times New Roman"/>
          <w:sz w:val="24"/>
          <w:szCs w:val="24"/>
        </w:rPr>
        <w:t xml:space="preserve">, buồn nôn và nôn, và </w:t>
      </w:r>
      <w:r w:rsidR="00E22DA5">
        <w:rPr>
          <w:rFonts w:ascii="Times New Roman" w:hAnsi="Times New Roman" w:cs="Times New Roman"/>
          <w:sz w:val="24"/>
          <w:szCs w:val="24"/>
        </w:rPr>
        <w:t>độc tính</w:t>
      </w:r>
      <w:r w:rsidRPr="007A7BA2">
        <w:rPr>
          <w:rFonts w:ascii="Times New Roman" w:hAnsi="Times New Roman" w:cs="Times New Roman"/>
          <w:sz w:val="24"/>
          <w:szCs w:val="24"/>
        </w:rPr>
        <w:t xml:space="preserve"> huyết học là 69,9%;</w:t>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44,3%, 67,1%. Biến cố bệnh phổi kẽ xảy ra ở 8</w:t>
      </w:r>
      <w:r w:rsidR="00403608" w:rsidRPr="007A7BA2">
        <w:rPr>
          <w:rFonts w:ascii="Times New Roman" w:hAnsi="Times New Roman" w:cs="Times New Roman"/>
          <w:sz w:val="24"/>
          <w:szCs w:val="24"/>
        </w:rPr>
        <w:t xml:space="preserve"> </w:t>
      </w:r>
      <w:r w:rsidRPr="007A7BA2">
        <w:rPr>
          <w:rFonts w:ascii="Times New Roman" w:hAnsi="Times New Roman" w:cs="Times New Roman"/>
          <w:sz w:val="24"/>
          <w:szCs w:val="24"/>
        </w:rPr>
        <w:t>bệnh nhân được điều trị bằng paclitaxel</w:t>
      </w:r>
      <w:r w:rsidR="00E22DA5">
        <w:rPr>
          <w:rFonts w:ascii="Times New Roman" w:hAnsi="Times New Roman" w:cs="Times New Roman"/>
          <w:sz w:val="24"/>
          <w:szCs w:val="24"/>
        </w:rPr>
        <w:t xml:space="preserve"> - </w:t>
      </w:r>
      <w:r w:rsidR="00E22DA5" w:rsidRPr="007A7BA2">
        <w:rPr>
          <w:rFonts w:ascii="Times New Roman" w:hAnsi="Times New Roman" w:cs="Times New Roman"/>
          <w:sz w:val="24"/>
          <w:szCs w:val="24"/>
        </w:rPr>
        <w:t>carboplatin</w:t>
      </w:r>
      <w:r w:rsidRPr="007A7BA2">
        <w:rPr>
          <w:rFonts w:ascii="Times New Roman" w:hAnsi="Times New Roman" w:cs="Times New Roman"/>
          <w:sz w:val="24"/>
          <w:szCs w:val="24"/>
        </w:rPr>
        <w:t xml:space="preserve"> (1,4%), 1 trong số đó đã tử</w:t>
      </w:r>
      <w:r w:rsidR="00403608" w:rsidRPr="007A7BA2">
        <w:rPr>
          <w:rFonts w:ascii="Times New Roman" w:hAnsi="Times New Roman" w:cs="Times New Roman"/>
          <w:sz w:val="24"/>
          <w:szCs w:val="24"/>
        </w:rPr>
        <w:t xml:space="preserve"> vong. </w:t>
      </w:r>
      <w:r w:rsidR="00403608" w:rsidRPr="007A7BA2">
        <w:rPr>
          <w:rFonts w:ascii="Times New Roman" w:hAnsi="Times New Roman" w:cs="Times New Roman"/>
          <w:sz w:val="24"/>
          <w:szCs w:val="24"/>
        </w:rPr>
        <w:fldChar w:fldCharType="begin"/>
      </w:r>
      <w:r w:rsidR="00403608" w:rsidRPr="007A7BA2">
        <w:rPr>
          <w:rFonts w:ascii="Times New Roman" w:hAnsi="Times New Roman" w:cs="Times New Roman"/>
          <w:sz w:val="24"/>
          <w:szCs w:val="24"/>
        </w:rPr>
        <w:instrText xml:space="preserve"> ADDIN ZOTERO_ITEM CSL_CITATION {"citationID":"HKUzx4O8","properties":{"formattedCitation":"\\super 9\\nosupersub{}","plainCitation":"9","noteIndex":0},"citationItems":[{"id":249,"uris":["http://zotero.org/users/12066239/items/KDR6K664"],"itemData":{"id":249,"type":"webpage","title":"Amivantamab plus Chemotherapy in NSCLC with EGFR Exon 20 Insertions | NEJM","URL":"https://www.nejm.org/doi/full/10.1056/NEJMoa2306441","accessed":{"date-parts":[["2023",11,24]]}}}],"schema":"https://github.com/citation-style-language/schema/raw/master/csl-citation.json"} </w:instrText>
      </w:r>
      <w:r w:rsidR="00403608" w:rsidRPr="007A7BA2">
        <w:rPr>
          <w:rFonts w:ascii="Times New Roman" w:hAnsi="Times New Roman" w:cs="Times New Roman"/>
          <w:sz w:val="24"/>
          <w:szCs w:val="24"/>
        </w:rPr>
        <w:fldChar w:fldCharType="separate"/>
      </w:r>
      <w:r w:rsidR="00403608" w:rsidRPr="007A7BA2">
        <w:rPr>
          <w:rFonts w:ascii="Times New Roman" w:hAnsi="Times New Roman" w:cs="Times New Roman"/>
          <w:sz w:val="24"/>
          <w:szCs w:val="24"/>
          <w:vertAlign w:val="superscript"/>
        </w:rPr>
        <w:t>9</w:t>
      </w:r>
      <w:r w:rsidR="00403608" w:rsidRPr="007A7BA2">
        <w:rPr>
          <w:rFonts w:ascii="Times New Roman" w:hAnsi="Times New Roman" w:cs="Times New Roman"/>
          <w:sz w:val="24"/>
          <w:szCs w:val="24"/>
        </w:rPr>
        <w:fldChar w:fldCharType="end"/>
      </w:r>
    </w:p>
    <w:p w:rsidR="008C64AE" w:rsidRPr="007A7BA2" w:rsidRDefault="007A7BA2" w:rsidP="007A7BA2">
      <w:pPr>
        <w:spacing w:after="0" w:line="240" w:lineRule="auto"/>
        <w:jc w:val="both"/>
        <w:rPr>
          <w:rFonts w:ascii="Times New Roman" w:hAnsi="Times New Roman" w:cs="Times New Roman"/>
          <w:b/>
          <w:sz w:val="24"/>
          <w:szCs w:val="24"/>
        </w:rPr>
      </w:pPr>
      <w:r w:rsidRPr="007A7BA2">
        <w:rPr>
          <w:rFonts w:ascii="Times New Roman" w:hAnsi="Times New Roman" w:cs="Times New Roman"/>
          <w:b/>
          <w:sz w:val="24"/>
          <w:szCs w:val="24"/>
        </w:rPr>
        <w:t xml:space="preserve">V. </w:t>
      </w:r>
      <w:r w:rsidR="008C64AE" w:rsidRPr="007A7BA2">
        <w:rPr>
          <w:rFonts w:ascii="Times New Roman" w:hAnsi="Times New Roman" w:cs="Times New Roman"/>
          <w:b/>
          <w:sz w:val="24"/>
          <w:szCs w:val="24"/>
        </w:rPr>
        <w:t>KẾT LUẬN</w:t>
      </w:r>
    </w:p>
    <w:p w:rsidR="008C64AE" w:rsidRPr="007A7BA2" w:rsidRDefault="008C64AE" w:rsidP="007A7BA2">
      <w:pPr>
        <w:spacing w:after="0" w:line="240" w:lineRule="auto"/>
        <w:ind w:firstLine="720"/>
        <w:jc w:val="both"/>
        <w:rPr>
          <w:rFonts w:ascii="Times New Roman" w:hAnsi="Times New Roman" w:cs="Times New Roman"/>
          <w:sz w:val="24"/>
          <w:szCs w:val="24"/>
        </w:rPr>
      </w:pPr>
      <w:r w:rsidRPr="007A7BA2">
        <w:rPr>
          <w:rFonts w:ascii="Times New Roman" w:hAnsi="Times New Roman" w:cs="Times New Roman"/>
          <w:sz w:val="24"/>
          <w:szCs w:val="24"/>
        </w:rPr>
        <w:t xml:space="preserve">Qua nghiên cứu trên 36 bệnh nhân </w:t>
      </w:r>
      <w:r w:rsidR="00A018FC" w:rsidRPr="007A7BA2">
        <w:rPr>
          <w:rFonts w:ascii="Times New Roman" w:hAnsi="Times New Roman" w:cs="Times New Roman"/>
          <w:sz w:val="24"/>
          <w:szCs w:val="24"/>
        </w:rPr>
        <w:t xml:space="preserve">UTPKTBN </w:t>
      </w:r>
      <w:r w:rsidRPr="007A7BA2">
        <w:rPr>
          <w:rFonts w:ascii="Times New Roman" w:hAnsi="Times New Roman" w:cs="Times New Roman"/>
          <w:sz w:val="24"/>
          <w:szCs w:val="24"/>
        </w:rPr>
        <w:t>giai đoạn</w:t>
      </w:r>
      <w:r w:rsidR="00A018FC" w:rsidRPr="007A7BA2">
        <w:rPr>
          <w:rFonts w:ascii="Times New Roman" w:hAnsi="Times New Roman" w:cs="Times New Roman"/>
          <w:sz w:val="24"/>
          <w:szCs w:val="24"/>
        </w:rPr>
        <w:t xml:space="preserve"> tái phát di căn</w:t>
      </w:r>
      <w:r w:rsidRPr="007A7BA2">
        <w:rPr>
          <w:rFonts w:ascii="Times New Roman" w:hAnsi="Times New Roman" w:cs="Times New Roman"/>
          <w:sz w:val="24"/>
          <w:szCs w:val="24"/>
        </w:rPr>
        <w:t xml:space="preserve"> có đột biến EGFR chèn đoạn exon 20 được điều trị hóa chất bộ đôi có platinum bước một tại Bệnh viện K từ tháng 01/2019 đế</w:t>
      </w:r>
      <w:r w:rsidR="00A018FC" w:rsidRPr="007A7BA2">
        <w:rPr>
          <w:rFonts w:ascii="Times New Roman" w:hAnsi="Times New Roman" w:cs="Times New Roman"/>
          <w:sz w:val="24"/>
          <w:szCs w:val="24"/>
        </w:rPr>
        <w:t>n tháng 06/2024</w:t>
      </w:r>
      <w:r w:rsidRPr="007A7BA2">
        <w:rPr>
          <w:rFonts w:ascii="Times New Roman" w:hAnsi="Times New Roman" w:cs="Times New Roman"/>
          <w:sz w:val="24"/>
          <w:szCs w:val="24"/>
        </w:rPr>
        <w:t xml:space="preserve"> chúng tôi rút ra kết luận như sau:</w:t>
      </w:r>
      <w:r w:rsidR="00E22DA5">
        <w:rPr>
          <w:rFonts w:ascii="Times New Roman" w:hAnsi="Times New Roman" w:cs="Times New Roman"/>
          <w:sz w:val="24"/>
          <w:szCs w:val="24"/>
        </w:rPr>
        <w:t xml:space="preserve"> </w:t>
      </w:r>
    </w:p>
    <w:p w:rsidR="00A018FC" w:rsidRPr="007A7BA2" w:rsidRDefault="00A018FC" w:rsidP="007A7BA2">
      <w:pPr>
        <w:spacing w:after="0" w:line="240" w:lineRule="auto"/>
        <w:jc w:val="both"/>
        <w:rPr>
          <w:rFonts w:ascii="Times New Roman" w:hAnsi="Times New Roman" w:cs="Times New Roman"/>
          <w:sz w:val="24"/>
          <w:szCs w:val="24"/>
        </w:rPr>
      </w:pPr>
      <w:r w:rsidRPr="007A7BA2">
        <w:rPr>
          <w:rFonts w:ascii="Times New Roman" w:hAnsi="Times New Roman" w:cs="Times New Roman"/>
          <w:sz w:val="24"/>
          <w:szCs w:val="24"/>
        </w:rPr>
        <w:t>- Tỷ lệ đáp ứng của phác đồ là 25%, tỷ lệ kiểm soát bệnh là 66,7%.</w:t>
      </w:r>
    </w:p>
    <w:p w:rsidR="00A018FC" w:rsidRPr="007A7BA2" w:rsidRDefault="00A018FC" w:rsidP="007A7BA2">
      <w:pPr>
        <w:spacing w:after="0" w:line="240" w:lineRule="auto"/>
        <w:jc w:val="both"/>
        <w:rPr>
          <w:rFonts w:ascii="Times New Roman" w:hAnsi="Times New Roman" w:cs="Times New Roman"/>
          <w:sz w:val="24"/>
          <w:szCs w:val="24"/>
        </w:rPr>
      </w:pPr>
      <w:r w:rsidRPr="007A7BA2">
        <w:rPr>
          <w:rFonts w:ascii="Times New Roman" w:hAnsi="Times New Roman" w:cs="Times New Roman"/>
          <w:sz w:val="24"/>
          <w:szCs w:val="24"/>
        </w:rPr>
        <w:t>- Trung vị thời gian sống thêm không</w:t>
      </w:r>
      <w:r w:rsidR="003B11DF">
        <w:rPr>
          <w:rFonts w:ascii="Times New Roman" w:hAnsi="Times New Roman" w:cs="Times New Roman"/>
          <w:sz w:val="24"/>
          <w:szCs w:val="24"/>
        </w:rPr>
        <w:t xml:space="preserve"> bệnh</w:t>
      </w:r>
      <w:r w:rsidRPr="007A7BA2">
        <w:rPr>
          <w:rFonts w:ascii="Times New Roman" w:hAnsi="Times New Roman" w:cs="Times New Roman"/>
          <w:sz w:val="24"/>
          <w:szCs w:val="24"/>
        </w:rPr>
        <w:t xml:space="preserve"> tiến triể</w:t>
      </w:r>
      <w:r w:rsidR="00E22DA5">
        <w:rPr>
          <w:rFonts w:ascii="Times New Roman" w:hAnsi="Times New Roman" w:cs="Times New Roman"/>
          <w:sz w:val="24"/>
          <w:szCs w:val="24"/>
        </w:rPr>
        <w:t xml:space="preserve">n </w:t>
      </w:r>
      <w:r w:rsidRPr="007A7BA2">
        <w:rPr>
          <w:rFonts w:ascii="Times New Roman" w:hAnsi="Times New Roman" w:cs="Times New Roman"/>
          <w:sz w:val="24"/>
          <w:szCs w:val="24"/>
        </w:rPr>
        <w:t>(PFS) là 7,0 tháng.</w:t>
      </w:r>
    </w:p>
    <w:p w:rsidR="00A018FC" w:rsidRPr="007A7BA2" w:rsidRDefault="00A018FC" w:rsidP="007A7BA2">
      <w:pPr>
        <w:spacing w:after="0" w:line="240" w:lineRule="auto"/>
        <w:jc w:val="both"/>
        <w:rPr>
          <w:rFonts w:ascii="Times New Roman" w:hAnsi="Times New Roman" w:cs="Times New Roman"/>
          <w:sz w:val="24"/>
          <w:szCs w:val="24"/>
        </w:rPr>
      </w:pPr>
      <w:r w:rsidRPr="007A7BA2">
        <w:rPr>
          <w:rFonts w:ascii="Times New Roman" w:hAnsi="Times New Roman" w:cs="Times New Roman"/>
          <w:sz w:val="24"/>
          <w:szCs w:val="24"/>
        </w:rPr>
        <w:t>- Trung vị thời gian sống thêm toàn bộ (OS) là 17,6 tháng.</w:t>
      </w:r>
    </w:p>
    <w:p w:rsidR="00A018FC" w:rsidRPr="007A7BA2" w:rsidRDefault="00A018FC" w:rsidP="007A7BA2">
      <w:pPr>
        <w:spacing w:after="0" w:line="240" w:lineRule="auto"/>
        <w:jc w:val="both"/>
        <w:rPr>
          <w:rFonts w:ascii="Times New Roman" w:hAnsi="Times New Roman" w:cs="Times New Roman"/>
          <w:sz w:val="24"/>
          <w:szCs w:val="24"/>
        </w:rPr>
      </w:pPr>
      <w:r w:rsidRPr="007A7BA2">
        <w:rPr>
          <w:rFonts w:ascii="Times New Roman" w:hAnsi="Times New Roman" w:cs="Times New Roman"/>
          <w:sz w:val="24"/>
          <w:szCs w:val="24"/>
        </w:rPr>
        <w:t>- Phần lớn bệnh nhân có ít nhất một tác dụ</w:t>
      </w:r>
      <w:r w:rsidR="007935DF">
        <w:rPr>
          <w:rFonts w:ascii="Times New Roman" w:hAnsi="Times New Roman" w:cs="Times New Roman"/>
          <w:sz w:val="24"/>
          <w:szCs w:val="24"/>
        </w:rPr>
        <w:t>ng không mong muốn, p</w:t>
      </w:r>
      <w:r w:rsidRPr="007A7BA2">
        <w:rPr>
          <w:rFonts w:ascii="Times New Roman" w:hAnsi="Times New Roman" w:cs="Times New Roman"/>
          <w:sz w:val="24"/>
          <w:szCs w:val="24"/>
        </w:rPr>
        <w:t>hổ biến nhất là giảm bạch cầu trung tính (ở 58% bệ</w:t>
      </w:r>
      <w:r w:rsidR="007935DF">
        <w:rPr>
          <w:rFonts w:ascii="Times New Roman" w:hAnsi="Times New Roman" w:cs="Times New Roman"/>
          <w:sz w:val="24"/>
          <w:szCs w:val="24"/>
        </w:rPr>
        <w:t>nh nhân),</w:t>
      </w:r>
      <w:r w:rsidRPr="007A7BA2">
        <w:rPr>
          <w:rFonts w:ascii="Times New Roman" w:hAnsi="Times New Roman" w:cs="Times New Roman"/>
          <w:sz w:val="24"/>
          <w:szCs w:val="24"/>
        </w:rPr>
        <w:t xml:space="preserve"> độc tính thần kinh ngoạ</w:t>
      </w:r>
      <w:r w:rsidR="007935DF">
        <w:rPr>
          <w:rFonts w:ascii="Times New Roman" w:hAnsi="Times New Roman" w:cs="Times New Roman"/>
          <w:sz w:val="24"/>
          <w:szCs w:val="24"/>
        </w:rPr>
        <w:t>i vi</w:t>
      </w:r>
      <w:r w:rsidRPr="007A7BA2">
        <w:rPr>
          <w:rFonts w:ascii="Times New Roman" w:hAnsi="Times New Roman" w:cs="Times New Roman"/>
          <w:sz w:val="24"/>
          <w:szCs w:val="24"/>
        </w:rPr>
        <w:t xml:space="preserve">  (44%), thiếu máu (48%) và buồn nôn (42%). Các tác dụ</w:t>
      </w:r>
      <w:r w:rsidR="00E22DA5">
        <w:rPr>
          <w:rFonts w:ascii="Times New Roman" w:hAnsi="Times New Roman" w:cs="Times New Roman"/>
          <w:sz w:val="24"/>
          <w:szCs w:val="24"/>
        </w:rPr>
        <w:t>ng không mong muốn</w:t>
      </w:r>
      <w:r w:rsidRPr="007A7BA2">
        <w:rPr>
          <w:rFonts w:ascii="Times New Roman" w:hAnsi="Times New Roman" w:cs="Times New Roman"/>
          <w:sz w:val="24"/>
          <w:szCs w:val="24"/>
        </w:rPr>
        <w:t xml:space="preserve"> phổ biến nhất ở mức độ 3 trở lên là giảm bạch cầu trung tính (25%), giảm tiểu cầu (6%), thiế</w:t>
      </w:r>
      <w:r w:rsidR="00E22DA5">
        <w:rPr>
          <w:rFonts w:ascii="Times New Roman" w:hAnsi="Times New Roman" w:cs="Times New Roman"/>
          <w:sz w:val="24"/>
          <w:szCs w:val="24"/>
        </w:rPr>
        <w:t>u máu (8%). Các độc tính</w:t>
      </w:r>
      <w:r w:rsidRPr="007A7BA2">
        <w:rPr>
          <w:rFonts w:ascii="Times New Roman" w:hAnsi="Times New Roman" w:cs="Times New Roman"/>
          <w:sz w:val="24"/>
          <w:szCs w:val="24"/>
        </w:rPr>
        <w:t xml:space="preserve"> dẫn đến giảm liều và ngừng thuốc đã được báo cáo ở 17% và 8% bệnh nhân.</w:t>
      </w:r>
    </w:p>
    <w:p w:rsidR="00B24B4C" w:rsidRPr="00E22DA5" w:rsidRDefault="00B24B4C" w:rsidP="007A7BA2">
      <w:pPr>
        <w:spacing w:after="0" w:line="240" w:lineRule="auto"/>
        <w:jc w:val="both"/>
        <w:rPr>
          <w:rFonts w:ascii="Times New Roman" w:hAnsi="Times New Roman" w:cs="Times New Roman"/>
          <w:b/>
          <w:sz w:val="24"/>
          <w:szCs w:val="24"/>
        </w:rPr>
      </w:pPr>
      <w:r w:rsidRPr="00E22DA5">
        <w:rPr>
          <w:rFonts w:ascii="Times New Roman" w:hAnsi="Times New Roman" w:cs="Times New Roman"/>
          <w:b/>
          <w:sz w:val="24"/>
          <w:szCs w:val="24"/>
        </w:rPr>
        <w:t>TÀI LIỆU THAM KHẢO</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fldChar w:fldCharType="begin"/>
      </w:r>
      <w:r w:rsidRPr="00E22DA5">
        <w:rPr>
          <w:rFonts w:ascii="Times New Roman" w:hAnsi="Times New Roman" w:cs="Times New Roman"/>
        </w:rPr>
        <w:instrText xml:space="preserve"> ADDIN ZOTERO_BIBL {"uncited":[],"omitted":[],"custom":[]} CSL_BIBLIOGRAPHY </w:instrText>
      </w:r>
      <w:r w:rsidRPr="00E22DA5">
        <w:rPr>
          <w:rFonts w:ascii="Times New Roman" w:hAnsi="Times New Roman" w:cs="Times New Roman"/>
        </w:rPr>
        <w:fldChar w:fldCharType="separate"/>
      </w:r>
      <w:r w:rsidRPr="00E22DA5">
        <w:rPr>
          <w:rFonts w:ascii="Times New Roman" w:hAnsi="Times New Roman" w:cs="Times New Roman"/>
        </w:rPr>
        <w:t>1.</w:t>
      </w:r>
      <w:r w:rsidRPr="00E22DA5">
        <w:rPr>
          <w:rFonts w:ascii="Times New Roman" w:hAnsi="Times New Roman" w:cs="Times New Roman"/>
        </w:rPr>
        <w:tab/>
        <w:t xml:space="preserve">Molina JR, Yang P, Cassivi SD, Schild SE, Adjei AA. Non-small cell lung cancer: epidemiology, risk factors, treatment, and survivorship. </w:t>
      </w:r>
      <w:r w:rsidRPr="00E22DA5">
        <w:rPr>
          <w:rFonts w:ascii="Times New Roman" w:hAnsi="Times New Roman" w:cs="Times New Roman"/>
          <w:i/>
          <w:iCs/>
        </w:rPr>
        <w:t>Mayo Clin Proc</w:t>
      </w:r>
      <w:r w:rsidRPr="00E22DA5">
        <w:rPr>
          <w:rFonts w:ascii="Times New Roman" w:hAnsi="Times New Roman" w:cs="Times New Roman"/>
        </w:rPr>
        <w:t>. 2008;83(5):584-594. doi:10.4065/83.5.584</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2.</w:t>
      </w:r>
      <w:r w:rsidRPr="00E22DA5">
        <w:rPr>
          <w:rFonts w:ascii="Times New Roman" w:hAnsi="Times New Roman" w:cs="Times New Roman"/>
        </w:rPr>
        <w:tab/>
        <w:t xml:space="preserve">Wee P, Wang Z. Epidermal Growth Factor Receptor Cell Proliferation Signaling Pathways. </w:t>
      </w:r>
      <w:r w:rsidRPr="00E22DA5">
        <w:rPr>
          <w:rFonts w:ascii="Times New Roman" w:hAnsi="Times New Roman" w:cs="Times New Roman"/>
          <w:i/>
          <w:iCs/>
        </w:rPr>
        <w:t>Cancers (Basel)</w:t>
      </w:r>
      <w:r w:rsidRPr="00E22DA5">
        <w:rPr>
          <w:rFonts w:ascii="Times New Roman" w:hAnsi="Times New Roman" w:cs="Times New Roman"/>
        </w:rPr>
        <w:t>. 2017;9(5):52. doi:10.3390/cancers9050052</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3.</w:t>
      </w:r>
      <w:r w:rsidRPr="00E22DA5">
        <w:rPr>
          <w:rFonts w:ascii="Times New Roman" w:hAnsi="Times New Roman" w:cs="Times New Roman"/>
        </w:rPr>
        <w:tab/>
        <w:t xml:space="preserve">Arcila ME, Nafa K, Chaft JE, et al. EGFR Exon 20 Insertion Mutations in Lung Adenocarcinomas: Prevalence, Molecular Heterogeneity, and Clinicopathologic Characteristics. </w:t>
      </w:r>
      <w:r w:rsidRPr="00E22DA5">
        <w:rPr>
          <w:rFonts w:ascii="Times New Roman" w:hAnsi="Times New Roman" w:cs="Times New Roman"/>
          <w:i/>
          <w:iCs/>
        </w:rPr>
        <w:t>Mol Cancer Ther</w:t>
      </w:r>
      <w:r w:rsidRPr="00E22DA5">
        <w:rPr>
          <w:rFonts w:ascii="Times New Roman" w:hAnsi="Times New Roman" w:cs="Times New Roman"/>
        </w:rPr>
        <w:t>. 2013;12(2):220-229. doi:10.1158/1535-7163.MCT-12-0620</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4.</w:t>
      </w:r>
      <w:r w:rsidRPr="00E22DA5">
        <w:rPr>
          <w:rFonts w:ascii="Times New Roman" w:hAnsi="Times New Roman" w:cs="Times New Roman"/>
        </w:rPr>
        <w:tab/>
        <w:t xml:space="preserve">Remon J, Hendriks LEL, Cardona AF, Besse B. EGFR exon 20 insertions in advanced non-small cell lung cancer: A new history begins. </w:t>
      </w:r>
      <w:r w:rsidRPr="00E22DA5">
        <w:rPr>
          <w:rFonts w:ascii="Times New Roman" w:hAnsi="Times New Roman" w:cs="Times New Roman"/>
          <w:i/>
          <w:iCs/>
        </w:rPr>
        <w:t>Cancer Treat Rev</w:t>
      </w:r>
      <w:r w:rsidRPr="00E22DA5">
        <w:rPr>
          <w:rFonts w:ascii="Times New Roman" w:hAnsi="Times New Roman" w:cs="Times New Roman"/>
        </w:rPr>
        <w:t>. 2020;90:102105. doi:10.1016/j.ctrv.2020.102105</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5.</w:t>
      </w:r>
      <w:r w:rsidRPr="00E22DA5">
        <w:rPr>
          <w:rFonts w:ascii="Times New Roman" w:hAnsi="Times New Roman" w:cs="Times New Roman"/>
        </w:rPr>
        <w:tab/>
        <w:t xml:space="preserve">Beau-Faller M, Prim N, Ruppert AM, et al. Rare EGFR exon 18 and exon 20 mutations in non-small-cell lung cancer on 10 117 patients: a multicentre observational study by the French ERMETIC-IFCT network. </w:t>
      </w:r>
      <w:r w:rsidRPr="00E22DA5">
        <w:rPr>
          <w:rFonts w:ascii="Times New Roman" w:hAnsi="Times New Roman" w:cs="Times New Roman"/>
          <w:i/>
          <w:iCs/>
        </w:rPr>
        <w:t>Ann Oncol</w:t>
      </w:r>
      <w:r w:rsidRPr="00E22DA5">
        <w:rPr>
          <w:rFonts w:ascii="Times New Roman" w:hAnsi="Times New Roman" w:cs="Times New Roman"/>
        </w:rPr>
        <w:t>. 2014;25(1):126-131. doi:10.1093/annonc/mdt418</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6.</w:t>
      </w:r>
      <w:r w:rsidRPr="00E22DA5">
        <w:rPr>
          <w:rFonts w:ascii="Times New Roman" w:hAnsi="Times New Roman" w:cs="Times New Roman"/>
        </w:rPr>
        <w:tab/>
        <w:t xml:space="preserve">Yang JCH, Sequist LV, Geater SL, et al. Clinical activity of afatinib in patients with advanced non-small-cell lung cancer harbouring uncommon EGFR mutations: a combined post-hoc analysis of LUX-Lung 2, LUX-Lung 3, and LUX-Lung 6. </w:t>
      </w:r>
      <w:r w:rsidRPr="00E22DA5">
        <w:rPr>
          <w:rFonts w:ascii="Times New Roman" w:hAnsi="Times New Roman" w:cs="Times New Roman"/>
          <w:i/>
          <w:iCs/>
        </w:rPr>
        <w:t>Lancet Oncol</w:t>
      </w:r>
      <w:r w:rsidRPr="00E22DA5">
        <w:rPr>
          <w:rFonts w:ascii="Times New Roman" w:hAnsi="Times New Roman" w:cs="Times New Roman"/>
        </w:rPr>
        <w:t>. 2015;16(7):830-838. doi:10.1016/S1470-2045(15)00026-1</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7.</w:t>
      </w:r>
      <w:r w:rsidRPr="00E22DA5">
        <w:rPr>
          <w:rFonts w:ascii="Times New Roman" w:hAnsi="Times New Roman" w:cs="Times New Roman"/>
        </w:rPr>
        <w:tab/>
        <w:t xml:space="preserve">van Veggel B, Madeira R Santos JFV, Hashemi SMS, et al. Osimertinib treatment for patients with EGFR exon 20 mutation positive non-small cell lung cancer. </w:t>
      </w:r>
      <w:r w:rsidRPr="00E22DA5">
        <w:rPr>
          <w:rFonts w:ascii="Times New Roman" w:hAnsi="Times New Roman" w:cs="Times New Roman"/>
          <w:i/>
          <w:iCs/>
        </w:rPr>
        <w:t>Lung Cancer</w:t>
      </w:r>
      <w:r w:rsidRPr="00E22DA5">
        <w:rPr>
          <w:rFonts w:ascii="Times New Roman" w:hAnsi="Times New Roman" w:cs="Times New Roman"/>
        </w:rPr>
        <w:t>. 2020;141:9-13. doi:10.1016/j.lungcan.2019.12.013</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8.</w:t>
      </w:r>
      <w:r w:rsidRPr="00E22DA5">
        <w:rPr>
          <w:rFonts w:ascii="Times New Roman" w:hAnsi="Times New Roman" w:cs="Times New Roman"/>
        </w:rPr>
        <w:tab/>
        <w:t xml:space="preserve">Negrao MV, Reuben A, Robichaux JP, et al. Association of EGFR and HER-2 exon 20 mutations with distinct patterns of response to immune checkpoint blockade in non-small cell lung cancer. </w:t>
      </w:r>
      <w:r w:rsidRPr="00E22DA5">
        <w:rPr>
          <w:rFonts w:ascii="Times New Roman" w:hAnsi="Times New Roman" w:cs="Times New Roman"/>
          <w:i/>
          <w:iCs/>
        </w:rPr>
        <w:t>JCO</w:t>
      </w:r>
      <w:r w:rsidRPr="00E22DA5">
        <w:rPr>
          <w:rFonts w:ascii="Times New Roman" w:hAnsi="Times New Roman" w:cs="Times New Roman"/>
        </w:rPr>
        <w:t>. 2018;36(15_suppl):9052-9052. doi:10.1200/JCO.2018.36.15_suppl.9052</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9.</w:t>
      </w:r>
      <w:r w:rsidRPr="00E22DA5">
        <w:rPr>
          <w:rFonts w:ascii="Times New Roman" w:hAnsi="Times New Roman" w:cs="Times New Roman"/>
        </w:rPr>
        <w:tab/>
        <w:t>Amivantamab plus Chemotherapy in NSCLC with EGFR Exon 20 Insertions | NEJM. Accessed November 24, 2023. https://www.nejm.org/doi/full/10.1056/NEJMoa2306441</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10.</w:t>
      </w:r>
      <w:r w:rsidRPr="00E22DA5">
        <w:rPr>
          <w:rFonts w:ascii="Times New Roman" w:hAnsi="Times New Roman" w:cs="Times New Roman"/>
        </w:rPr>
        <w:tab/>
        <w:t xml:space="preserve">Morita C, Yoshida T, Shirasawa M, et al. Clinical characteristics of advanced non-small cell lung cancer patients with EGFR exon 20 insertions. </w:t>
      </w:r>
      <w:r w:rsidRPr="00E22DA5">
        <w:rPr>
          <w:rFonts w:ascii="Times New Roman" w:hAnsi="Times New Roman" w:cs="Times New Roman"/>
          <w:i/>
          <w:iCs/>
        </w:rPr>
        <w:t>Sci Rep</w:t>
      </w:r>
      <w:r w:rsidRPr="00E22DA5">
        <w:rPr>
          <w:rFonts w:ascii="Times New Roman" w:hAnsi="Times New Roman" w:cs="Times New Roman"/>
        </w:rPr>
        <w:t>. 2021;11:18762. doi:10.1038/s41598-021-98275-3</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11.</w:t>
      </w:r>
      <w:r w:rsidRPr="00E22DA5">
        <w:rPr>
          <w:rFonts w:ascii="Times New Roman" w:hAnsi="Times New Roman" w:cs="Times New Roman"/>
        </w:rPr>
        <w:tab/>
        <w:t xml:space="preserve">Shah MP, Aredo JV, Padda SK, et al. EGFR exon 20 Insertion NSCLC and Response to Platinum-Based Chemotherapy. </w:t>
      </w:r>
      <w:r w:rsidRPr="00E22DA5">
        <w:rPr>
          <w:rFonts w:ascii="Times New Roman" w:hAnsi="Times New Roman" w:cs="Times New Roman"/>
          <w:i/>
          <w:iCs/>
        </w:rPr>
        <w:t>Clin Lung Cancer</w:t>
      </w:r>
      <w:r w:rsidRPr="00E22DA5">
        <w:rPr>
          <w:rFonts w:ascii="Times New Roman" w:hAnsi="Times New Roman" w:cs="Times New Roman"/>
        </w:rPr>
        <w:t>. 2022;23(2):e148-e153. doi:10.1016/j.cllc.2021.07.001</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lastRenderedPageBreak/>
        <w:t>12.</w:t>
      </w:r>
      <w:r w:rsidRPr="00E22DA5">
        <w:rPr>
          <w:rFonts w:ascii="Times New Roman" w:hAnsi="Times New Roman" w:cs="Times New Roman"/>
        </w:rPr>
        <w:tab/>
        <w:t xml:space="preserve">Yang G, Li J, Xu H, et al. EGFR exon 20 insertion mutations in Chinese advanced non-small cell lung cancer patients: Molecular heterogeneity and treatment outcome from nationwide real-world study. </w:t>
      </w:r>
      <w:r w:rsidRPr="00E22DA5">
        <w:rPr>
          <w:rFonts w:ascii="Times New Roman" w:hAnsi="Times New Roman" w:cs="Times New Roman"/>
          <w:i/>
          <w:iCs/>
        </w:rPr>
        <w:t>Lung Cancer</w:t>
      </w:r>
      <w:r w:rsidRPr="00E22DA5">
        <w:rPr>
          <w:rFonts w:ascii="Times New Roman" w:hAnsi="Times New Roman" w:cs="Times New Roman"/>
        </w:rPr>
        <w:t>. 2020;145:186-194. doi:10.1016/j.lungcan.2020.03.014</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13.</w:t>
      </w:r>
      <w:r w:rsidRPr="00E22DA5">
        <w:rPr>
          <w:rFonts w:ascii="Times New Roman" w:hAnsi="Times New Roman" w:cs="Times New Roman"/>
        </w:rPr>
        <w:tab/>
        <w:t xml:space="preserve">Xu CW, Wang WX, Wang D, et al. Pemetrexed-based chemotherapy for non-small-cell lung cancer patients with EGFR exon 20 insertion mutation: a multicenter study. </w:t>
      </w:r>
      <w:r w:rsidRPr="00E22DA5">
        <w:rPr>
          <w:rFonts w:ascii="Times New Roman" w:hAnsi="Times New Roman" w:cs="Times New Roman"/>
          <w:i/>
          <w:iCs/>
        </w:rPr>
        <w:t>Transl Lung Cancer Res</w:t>
      </w:r>
      <w:r w:rsidRPr="00E22DA5">
        <w:rPr>
          <w:rFonts w:ascii="Times New Roman" w:hAnsi="Times New Roman" w:cs="Times New Roman"/>
        </w:rPr>
        <w:t>. 2020;9(5):1853-1861. doi:10.21037/tlcr-20-382</w:t>
      </w:r>
    </w:p>
    <w:p w:rsidR="00B24B4C" w:rsidRPr="00E22DA5" w:rsidRDefault="00B24B4C" w:rsidP="0026374F">
      <w:pPr>
        <w:pStyle w:val="Bibliography"/>
        <w:spacing w:after="0"/>
        <w:jc w:val="both"/>
        <w:rPr>
          <w:rFonts w:ascii="Times New Roman" w:hAnsi="Times New Roman" w:cs="Times New Roman"/>
        </w:rPr>
      </w:pPr>
      <w:r w:rsidRPr="00E22DA5">
        <w:rPr>
          <w:rFonts w:ascii="Times New Roman" w:hAnsi="Times New Roman" w:cs="Times New Roman"/>
        </w:rPr>
        <w:t>14.</w:t>
      </w:r>
      <w:r w:rsidRPr="00E22DA5">
        <w:rPr>
          <w:rFonts w:ascii="Times New Roman" w:hAnsi="Times New Roman" w:cs="Times New Roman"/>
        </w:rPr>
        <w:tab/>
        <w:t xml:space="preserve">Wu JY, Yu CJ, Shih JY. Effectiveness of Treatments for Advanced Non-Small-Cell Lung Cancer With Exon 20 Insertion Epidermal Growth Factor Receptor Mutations. </w:t>
      </w:r>
      <w:r w:rsidRPr="00E22DA5">
        <w:rPr>
          <w:rFonts w:ascii="Times New Roman" w:hAnsi="Times New Roman" w:cs="Times New Roman"/>
          <w:i/>
          <w:iCs/>
        </w:rPr>
        <w:t>Clin Lung Cancer</w:t>
      </w:r>
      <w:r w:rsidRPr="00E22DA5">
        <w:rPr>
          <w:rFonts w:ascii="Times New Roman" w:hAnsi="Times New Roman" w:cs="Times New Roman"/>
        </w:rPr>
        <w:t>. 2019;20(6):e620-e630. doi:10.1016/j.cllc.2019.06.018</w:t>
      </w:r>
    </w:p>
    <w:p w:rsidR="00B24B4C" w:rsidRPr="00E22DA5" w:rsidRDefault="00B24B4C" w:rsidP="0026374F">
      <w:pPr>
        <w:pStyle w:val="ListParagraph"/>
        <w:spacing w:after="0" w:line="240" w:lineRule="auto"/>
        <w:ind w:left="1440"/>
        <w:jc w:val="both"/>
        <w:rPr>
          <w:rFonts w:ascii="Times New Roman" w:hAnsi="Times New Roman" w:cs="Times New Roman"/>
        </w:rPr>
      </w:pPr>
      <w:r w:rsidRPr="00E22DA5">
        <w:rPr>
          <w:rFonts w:ascii="Times New Roman" w:hAnsi="Times New Roman" w:cs="Times New Roman"/>
        </w:rPr>
        <w:fldChar w:fldCharType="end"/>
      </w:r>
    </w:p>
    <w:sectPr w:rsidR="00B24B4C" w:rsidRPr="00E22DA5" w:rsidSect="0026374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C3F3E"/>
    <w:multiLevelType w:val="hybridMultilevel"/>
    <w:tmpl w:val="3B4A0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35603"/>
    <w:multiLevelType w:val="hybridMultilevel"/>
    <w:tmpl w:val="13B8D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4097"/>
    <w:multiLevelType w:val="hybridMultilevel"/>
    <w:tmpl w:val="6B6A3D54"/>
    <w:lvl w:ilvl="0" w:tplc="67D0F9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A7CB7"/>
    <w:multiLevelType w:val="hybridMultilevel"/>
    <w:tmpl w:val="D382C8DA"/>
    <w:lvl w:ilvl="0" w:tplc="FC9C8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5086B"/>
    <w:multiLevelType w:val="hybridMultilevel"/>
    <w:tmpl w:val="83281B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95339B"/>
    <w:multiLevelType w:val="multilevel"/>
    <w:tmpl w:val="0B02A7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7542E7"/>
    <w:multiLevelType w:val="hybridMultilevel"/>
    <w:tmpl w:val="E8E2AF08"/>
    <w:lvl w:ilvl="0" w:tplc="10469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00141"/>
    <w:multiLevelType w:val="hybridMultilevel"/>
    <w:tmpl w:val="72AA82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4A4A60"/>
    <w:multiLevelType w:val="hybridMultilevel"/>
    <w:tmpl w:val="10722D9A"/>
    <w:lvl w:ilvl="0" w:tplc="67D0F9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009F7"/>
    <w:multiLevelType w:val="hybridMultilevel"/>
    <w:tmpl w:val="D1C29F84"/>
    <w:lvl w:ilvl="0" w:tplc="67D0F9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E44CE"/>
    <w:multiLevelType w:val="multilevel"/>
    <w:tmpl w:val="68AE68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55433B5"/>
    <w:multiLevelType w:val="multilevel"/>
    <w:tmpl w:val="CC6A81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E56238"/>
    <w:multiLevelType w:val="hybridMultilevel"/>
    <w:tmpl w:val="DDF48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F01C4"/>
    <w:multiLevelType w:val="hybridMultilevel"/>
    <w:tmpl w:val="58F6356A"/>
    <w:lvl w:ilvl="0" w:tplc="67D0F9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67E80"/>
    <w:multiLevelType w:val="hybridMultilevel"/>
    <w:tmpl w:val="4B3E067A"/>
    <w:lvl w:ilvl="0" w:tplc="0EB6D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6"/>
  </w:num>
  <w:num w:numId="4">
    <w:abstractNumId w:val="10"/>
  </w:num>
  <w:num w:numId="5">
    <w:abstractNumId w:val="14"/>
  </w:num>
  <w:num w:numId="6">
    <w:abstractNumId w:val="0"/>
  </w:num>
  <w:num w:numId="7">
    <w:abstractNumId w:val="1"/>
  </w:num>
  <w:num w:numId="8">
    <w:abstractNumId w:val="2"/>
  </w:num>
  <w:num w:numId="9">
    <w:abstractNumId w:val="8"/>
  </w:num>
  <w:num w:numId="10">
    <w:abstractNumId w:val="13"/>
  </w:num>
  <w:num w:numId="11">
    <w:abstractNumId w:val="9"/>
  </w:num>
  <w:num w:numId="12">
    <w:abstractNumId w:val="7"/>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8C"/>
    <w:rsid w:val="00020E36"/>
    <w:rsid w:val="00043A74"/>
    <w:rsid w:val="0006279A"/>
    <w:rsid w:val="001155D3"/>
    <w:rsid w:val="001A2D64"/>
    <w:rsid w:val="001C2870"/>
    <w:rsid w:val="00255441"/>
    <w:rsid w:val="00262BF9"/>
    <w:rsid w:val="0026374F"/>
    <w:rsid w:val="002A2118"/>
    <w:rsid w:val="00323C3A"/>
    <w:rsid w:val="00353B9B"/>
    <w:rsid w:val="00364462"/>
    <w:rsid w:val="0038045D"/>
    <w:rsid w:val="003B11DF"/>
    <w:rsid w:val="00402045"/>
    <w:rsid w:val="00403608"/>
    <w:rsid w:val="00463AC8"/>
    <w:rsid w:val="004C6B00"/>
    <w:rsid w:val="004E2480"/>
    <w:rsid w:val="00573363"/>
    <w:rsid w:val="005A22E4"/>
    <w:rsid w:val="005A4480"/>
    <w:rsid w:val="005E5EA5"/>
    <w:rsid w:val="0066453D"/>
    <w:rsid w:val="0076758C"/>
    <w:rsid w:val="007935DF"/>
    <w:rsid w:val="007A7BA2"/>
    <w:rsid w:val="007F7C95"/>
    <w:rsid w:val="008203AC"/>
    <w:rsid w:val="00833664"/>
    <w:rsid w:val="00853902"/>
    <w:rsid w:val="008C64AE"/>
    <w:rsid w:val="008C7C14"/>
    <w:rsid w:val="008E64DD"/>
    <w:rsid w:val="00A018FC"/>
    <w:rsid w:val="00A51E24"/>
    <w:rsid w:val="00A70030"/>
    <w:rsid w:val="00B164AE"/>
    <w:rsid w:val="00B24B4C"/>
    <w:rsid w:val="00BA2B4F"/>
    <w:rsid w:val="00C55B2A"/>
    <w:rsid w:val="00C96E51"/>
    <w:rsid w:val="00CC0CA1"/>
    <w:rsid w:val="00CC2B61"/>
    <w:rsid w:val="00D00B7A"/>
    <w:rsid w:val="00DC43E1"/>
    <w:rsid w:val="00DF34D9"/>
    <w:rsid w:val="00E22DA5"/>
    <w:rsid w:val="00E64F59"/>
    <w:rsid w:val="00E663D4"/>
    <w:rsid w:val="00ED4A6F"/>
    <w:rsid w:val="00F227D7"/>
    <w:rsid w:val="00FB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D389A-0F8A-4569-A739-765A2D01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8C"/>
    <w:pPr>
      <w:ind w:left="720"/>
      <w:contextualSpacing/>
    </w:pPr>
  </w:style>
  <w:style w:type="table" w:styleId="TableGrid">
    <w:name w:val="Table Grid"/>
    <w:basedOn w:val="TableNormal"/>
    <w:uiPriority w:val="39"/>
    <w:rsid w:val="005A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B00"/>
    <w:rPr>
      <w:color w:val="808080"/>
    </w:rPr>
  </w:style>
  <w:style w:type="paragraph" w:styleId="Bibliography">
    <w:name w:val="Bibliography"/>
    <w:basedOn w:val="Normal"/>
    <w:next w:val="Normal"/>
    <w:uiPriority w:val="37"/>
    <w:unhideWhenUsed/>
    <w:rsid w:val="00B24B4C"/>
    <w:pPr>
      <w:tabs>
        <w:tab w:val="left" w:pos="384"/>
      </w:tabs>
      <w:spacing w:after="240" w:line="240" w:lineRule="auto"/>
      <w:ind w:left="384" w:hanging="384"/>
    </w:pPr>
  </w:style>
  <w:style w:type="paragraph" w:styleId="NormalWeb">
    <w:name w:val="Normal (Web)"/>
    <w:basedOn w:val="Normal"/>
    <w:uiPriority w:val="99"/>
    <w:unhideWhenUsed/>
    <w:rsid w:val="00262B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4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2954">
      <w:bodyDiv w:val="1"/>
      <w:marLeft w:val="0"/>
      <w:marRight w:val="0"/>
      <w:marTop w:val="0"/>
      <w:marBottom w:val="0"/>
      <w:divBdr>
        <w:top w:val="none" w:sz="0" w:space="0" w:color="auto"/>
        <w:left w:val="none" w:sz="0" w:space="0" w:color="auto"/>
        <w:bottom w:val="none" w:sz="0" w:space="0" w:color="auto"/>
        <w:right w:val="none" w:sz="0" w:space="0" w:color="auto"/>
      </w:divBdr>
      <w:divsChild>
        <w:div w:id="1943876121">
          <w:marLeft w:val="0"/>
          <w:marRight w:val="0"/>
          <w:marTop w:val="0"/>
          <w:marBottom w:val="0"/>
          <w:divBdr>
            <w:top w:val="none" w:sz="0" w:space="0" w:color="auto"/>
            <w:left w:val="none" w:sz="0" w:space="0" w:color="auto"/>
            <w:bottom w:val="none" w:sz="0" w:space="0" w:color="auto"/>
            <w:right w:val="none" w:sz="0" w:space="0" w:color="auto"/>
          </w:divBdr>
        </w:div>
        <w:div w:id="2001226458">
          <w:marLeft w:val="0"/>
          <w:marRight w:val="0"/>
          <w:marTop w:val="0"/>
          <w:marBottom w:val="0"/>
          <w:divBdr>
            <w:top w:val="none" w:sz="0" w:space="0" w:color="auto"/>
            <w:left w:val="none" w:sz="0" w:space="0" w:color="auto"/>
            <w:bottom w:val="none" w:sz="0" w:space="0" w:color="auto"/>
            <w:right w:val="none" w:sz="0" w:space="0" w:color="auto"/>
          </w:divBdr>
        </w:div>
        <w:div w:id="494298971">
          <w:marLeft w:val="0"/>
          <w:marRight w:val="0"/>
          <w:marTop w:val="0"/>
          <w:marBottom w:val="0"/>
          <w:divBdr>
            <w:top w:val="none" w:sz="0" w:space="0" w:color="auto"/>
            <w:left w:val="none" w:sz="0" w:space="0" w:color="auto"/>
            <w:bottom w:val="none" w:sz="0" w:space="0" w:color="auto"/>
            <w:right w:val="none" w:sz="0" w:space="0" w:color="auto"/>
          </w:divBdr>
        </w:div>
        <w:div w:id="796796073">
          <w:marLeft w:val="0"/>
          <w:marRight w:val="0"/>
          <w:marTop w:val="0"/>
          <w:marBottom w:val="0"/>
          <w:divBdr>
            <w:top w:val="none" w:sz="0" w:space="0" w:color="auto"/>
            <w:left w:val="none" w:sz="0" w:space="0" w:color="auto"/>
            <w:bottom w:val="none" w:sz="0" w:space="0" w:color="auto"/>
            <w:right w:val="none" w:sz="0" w:space="0" w:color="auto"/>
          </w:divBdr>
        </w:div>
      </w:divsChild>
    </w:div>
    <w:div w:id="202596441">
      <w:bodyDiv w:val="1"/>
      <w:marLeft w:val="0"/>
      <w:marRight w:val="0"/>
      <w:marTop w:val="0"/>
      <w:marBottom w:val="0"/>
      <w:divBdr>
        <w:top w:val="none" w:sz="0" w:space="0" w:color="auto"/>
        <w:left w:val="none" w:sz="0" w:space="0" w:color="auto"/>
        <w:bottom w:val="none" w:sz="0" w:space="0" w:color="auto"/>
        <w:right w:val="none" w:sz="0" w:space="0" w:color="auto"/>
      </w:divBdr>
      <w:divsChild>
        <w:div w:id="1726022618">
          <w:marLeft w:val="0"/>
          <w:marRight w:val="0"/>
          <w:marTop w:val="0"/>
          <w:marBottom w:val="0"/>
          <w:divBdr>
            <w:top w:val="none" w:sz="0" w:space="0" w:color="auto"/>
            <w:left w:val="none" w:sz="0" w:space="0" w:color="auto"/>
            <w:bottom w:val="none" w:sz="0" w:space="0" w:color="auto"/>
            <w:right w:val="none" w:sz="0" w:space="0" w:color="auto"/>
          </w:divBdr>
        </w:div>
        <w:div w:id="1520848087">
          <w:marLeft w:val="0"/>
          <w:marRight w:val="0"/>
          <w:marTop w:val="0"/>
          <w:marBottom w:val="0"/>
          <w:divBdr>
            <w:top w:val="none" w:sz="0" w:space="0" w:color="auto"/>
            <w:left w:val="none" w:sz="0" w:space="0" w:color="auto"/>
            <w:bottom w:val="none" w:sz="0" w:space="0" w:color="auto"/>
            <w:right w:val="none" w:sz="0" w:space="0" w:color="auto"/>
          </w:divBdr>
        </w:div>
        <w:div w:id="1693216846">
          <w:marLeft w:val="0"/>
          <w:marRight w:val="0"/>
          <w:marTop w:val="0"/>
          <w:marBottom w:val="0"/>
          <w:divBdr>
            <w:top w:val="none" w:sz="0" w:space="0" w:color="auto"/>
            <w:left w:val="none" w:sz="0" w:space="0" w:color="auto"/>
            <w:bottom w:val="none" w:sz="0" w:space="0" w:color="auto"/>
            <w:right w:val="none" w:sz="0" w:space="0" w:color="auto"/>
          </w:divBdr>
        </w:div>
        <w:div w:id="323238393">
          <w:marLeft w:val="0"/>
          <w:marRight w:val="0"/>
          <w:marTop w:val="0"/>
          <w:marBottom w:val="0"/>
          <w:divBdr>
            <w:top w:val="none" w:sz="0" w:space="0" w:color="auto"/>
            <w:left w:val="none" w:sz="0" w:space="0" w:color="auto"/>
            <w:bottom w:val="none" w:sz="0" w:space="0" w:color="auto"/>
            <w:right w:val="none" w:sz="0" w:space="0" w:color="auto"/>
          </w:divBdr>
        </w:div>
        <w:div w:id="242300077">
          <w:marLeft w:val="0"/>
          <w:marRight w:val="0"/>
          <w:marTop w:val="0"/>
          <w:marBottom w:val="0"/>
          <w:divBdr>
            <w:top w:val="none" w:sz="0" w:space="0" w:color="auto"/>
            <w:left w:val="none" w:sz="0" w:space="0" w:color="auto"/>
            <w:bottom w:val="none" w:sz="0" w:space="0" w:color="auto"/>
            <w:right w:val="none" w:sz="0" w:space="0" w:color="auto"/>
          </w:divBdr>
        </w:div>
        <w:div w:id="1675381130">
          <w:marLeft w:val="0"/>
          <w:marRight w:val="0"/>
          <w:marTop w:val="0"/>
          <w:marBottom w:val="0"/>
          <w:divBdr>
            <w:top w:val="none" w:sz="0" w:space="0" w:color="auto"/>
            <w:left w:val="none" w:sz="0" w:space="0" w:color="auto"/>
            <w:bottom w:val="none" w:sz="0" w:space="0" w:color="auto"/>
            <w:right w:val="none" w:sz="0" w:space="0" w:color="auto"/>
          </w:divBdr>
        </w:div>
        <w:div w:id="1296445306">
          <w:marLeft w:val="0"/>
          <w:marRight w:val="0"/>
          <w:marTop w:val="0"/>
          <w:marBottom w:val="0"/>
          <w:divBdr>
            <w:top w:val="none" w:sz="0" w:space="0" w:color="auto"/>
            <w:left w:val="none" w:sz="0" w:space="0" w:color="auto"/>
            <w:bottom w:val="none" w:sz="0" w:space="0" w:color="auto"/>
            <w:right w:val="none" w:sz="0" w:space="0" w:color="auto"/>
          </w:divBdr>
        </w:div>
        <w:div w:id="28453843">
          <w:marLeft w:val="0"/>
          <w:marRight w:val="0"/>
          <w:marTop w:val="0"/>
          <w:marBottom w:val="0"/>
          <w:divBdr>
            <w:top w:val="none" w:sz="0" w:space="0" w:color="auto"/>
            <w:left w:val="none" w:sz="0" w:space="0" w:color="auto"/>
            <w:bottom w:val="none" w:sz="0" w:space="0" w:color="auto"/>
            <w:right w:val="none" w:sz="0" w:space="0" w:color="auto"/>
          </w:divBdr>
        </w:div>
        <w:div w:id="1653874806">
          <w:marLeft w:val="0"/>
          <w:marRight w:val="0"/>
          <w:marTop w:val="0"/>
          <w:marBottom w:val="0"/>
          <w:divBdr>
            <w:top w:val="none" w:sz="0" w:space="0" w:color="auto"/>
            <w:left w:val="none" w:sz="0" w:space="0" w:color="auto"/>
            <w:bottom w:val="none" w:sz="0" w:space="0" w:color="auto"/>
            <w:right w:val="none" w:sz="0" w:space="0" w:color="auto"/>
          </w:divBdr>
        </w:div>
        <w:div w:id="1769344670">
          <w:marLeft w:val="0"/>
          <w:marRight w:val="0"/>
          <w:marTop w:val="0"/>
          <w:marBottom w:val="0"/>
          <w:divBdr>
            <w:top w:val="none" w:sz="0" w:space="0" w:color="auto"/>
            <w:left w:val="none" w:sz="0" w:space="0" w:color="auto"/>
            <w:bottom w:val="none" w:sz="0" w:space="0" w:color="auto"/>
            <w:right w:val="none" w:sz="0" w:space="0" w:color="auto"/>
          </w:divBdr>
        </w:div>
        <w:div w:id="1184398032">
          <w:marLeft w:val="0"/>
          <w:marRight w:val="0"/>
          <w:marTop w:val="0"/>
          <w:marBottom w:val="0"/>
          <w:divBdr>
            <w:top w:val="none" w:sz="0" w:space="0" w:color="auto"/>
            <w:left w:val="none" w:sz="0" w:space="0" w:color="auto"/>
            <w:bottom w:val="none" w:sz="0" w:space="0" w:color="auto"/>
            <w:right w:val="none" w:sz="0" w:space="0" w:color="auto"/>
          </w:divBdr>
        </w:div>
        <w:div w:id="639577493">
          <w:marLeft w:val="0"/>
          <w:marRight w:val="0"/>
          <w:marTop w:val="0"/>
          <w:marBottom w:val="0"/>
          <w:divBdr>
            <w:top w:val="none" w:sz="0" w:space="0" w:color="auto"/>
            <w:left w:val="none" w:sz="0" w:space="0" w:color="auto"/>
            <w:bottom w:val="none" w:sz="0" w:space="0" w:color="auto"/>
            <w:right w:val="none" w:sz="0" w:space="0" w:color="auto"/>
          </w:divBdr>
        </w:div>
        <w:div w:id="866336022">
          <w:marLeft w:val="0"/>
          <w:marRight w:val="0"/>
          <w:marTop w:val="0"/>
          <w:marBottom w:val="0"/>
          <w:divBdr>
            <w:top w:val="none" w:sz="0" w:space="0" w:color="auto"/>
            <w:left w:val="none" w:sz="0" w:space="0" w:color="auto"/>
            <w:bottom w:val="none" w:sz="0" w:space="0" w:color="auto"/>
            <w:right w:val="none" w:sz="0" w:space="0" w:color="auto"/>
          </w:divBdr>
        </w:div>
        <w:div w:id="549538577">
          <w:marLeft w:val="0"/>
          <w:marRight w:val="0"/>
          <w:marTop w:val="0"/>
          <w:marBottom w:val="0"/>
          <w:divBdr>
            <w:top w:val="none" w:sz="0" w:space="0" w:color="auto"/>
            <w:left w:val="none" w:sz="0" w:space="0" w:color="auto"/>
            <w:bottom w:val="none" w:sz="0" w:space="0" w:color="auto"/>
            <w:right w:val="none" w:sz="0" w:space="0" w:color="auto"/>
          </w:divBdr>
        </w:div>
        <w:div w:id="1595744062">
          <w:marLeft w:val="0"/>
          <w:marRight w:val="0"/>
          <w:marTop w:val="0"/>
          <w:marBottom w:val="0"/>
          <w:divBdr>
            <w:top w:val="none" w:sz="0" w:space="0" w:color="auto"/>
            <w:left w:val="none" w:sz="0" w:space="0" w:color="auto"/>
            <w:bottom w:val="none" w:sz="0" w:space="0" w:color="auto"/>
            <w:right w:val="none" w:sz="0" w:space="0" w:color="auto"/>
          </w:divBdr>
        </w:div>
        <w:div w:id="806969786">
          <w:marLeft w:val="0"/>
          <w:marRight w:val="0"/>
          <w:marTop w:val="0"/>
          <w:marBottom w:val="0"/>
          <w:divBdr>
            <w:top w:val="none" w:sz="0" w:space="0" w:color="auto"/>
            <w:left w:val="none" w:sz="0" w:space="0" w:color="auto"/>
            <w:bottom w:val="none" w:sz="0" w:space="0" w:color="auto"/>
            <w:right w:val="none" w:sz="0" w:space="0" w:color="auto"/>
          </w:divBdr>
        </w:div>
        <w:div w:id="1196579777">
          <w:marLeft w:val="0"/>
          <w:marRight w:val="0"/>
          <w:marTop w:val="0"/>
          <w:marBottom w:val="0"/>
          <w:divBdr>
            <w:top w:val="none" w:sz="0" w:space="0" w:color="auto"/>
            <w:left w:val="none" w:sz="0" w:space="0" w:color="auto"/>
            <w:bottom w:val="none" w:sz="0" w:space="0" w:color="auto"/>
            <w:right w:val="none" w:sz="0" w:space="0" w:color="auto"/>
          </w:divBdr>
        </w:div>
      </w:divsChild>
    </w:div>
    <w:div w:id="304512895">
      <w:bodyDiv w:val="1"/>
      <w:marLeft w:val="0"/>
      <w:marRight w:val="0"/>
      <w:marTop w:val="0"/>
      <w:marBottom w:val="0"/>
      <w:divBdr>
        <w:top w:val="none" w:sz="0" w:space="0" w:color="auto"/>
        <w:left w:val="none" w:sz="0" w:space="0" w:color="auto"/>
        <w:bottom w:val="none" w:sz="0" w:space="0" w:color="auto"/>
        <w:right w:val="none" w:sz="0" w:space="0" w:color="auto"/>
      </w:divBdr>
      <w:divsChild>
        <w:div w:id="43145070">
          <w:marLeft w:val="0"/>
          <w:marRight w:val="0"/>
          <w:marTop w:val="0"/>
          <w:marBottom w:val="0"/>
          <w:divBdr>
            <w:top w:val="none" w:sz="0" w:space="0" w:color="auto"/>
            <w:left w:val="none" w:sz="0" w:space="0" w:color="auto"/>
            <w:bottom w:val="none" w:sz="0" w:space="0" w:color="auto"/>
            <w:right w:val="none" w:sz="0" w:space="0" w:color="auto"/>
          </w:divBdr>
        </w:div>
        <w:div w:id="718014905">
          <w:marLeft w:val="0"/>
          <w:marRight w:val="0"/>
          <w:marTop w:val="0"/>
          <w:marBottom w:val="0"/>
          <w:divBdr>
            <w:top w:val="none" w:sz="0" w:space="0" w:color="auto"/>
            <w:left w:val="none" w:sz="0" w:space="0" w:color="auto"/>
            <w:bottom w:val="none" w:sz="0" w:space="0" w:color="auto"/>
            <w:right w:val="none" w:sz="0" w:space="0" w:color="auto"/>
          </w:divBdr>
        </w:div>
        <w:div w:id="212010821">
          <w:marLeft w:val="0"/>
          <w:marRight w:val="0"/>
          <w:marTop w:val="0"/>
          <w:marBottom w:val="0"/>
          <w:divBdr>
            <w:top w:val="none" w:sz="0" w:space="0" w:color="auto"/>
            <w:left w:val="none" w:sz="0" w:space="0" w:color="auto"/>
            <w:bottom w:val="none" w:sz="0" w:space="0" w:color="auto"/>
            <w:right w:val="none" w:sz="0" w:space="0" w:color="auto"/>
          </w:divBdr>
        </w:div>
        <w:div w:id="2005010870">
          <w:marLeft w:val="0"/>
          <w:marRight w:val="0"/>
          <w:marTop w:val="0"/>
          <w:marBottom w:val="0"/>
          <w:divBdr>
            <w:top w:val="none" w:sz="0" w:space="0" w:color="auto"/>
            <w:left w:val="none" w:sz="0" w:space="0" w:color="auto"/>
            <w:bottom w:val="none" w:sz="0" w:space="0" w:color="auto"/>
            <w:right w:val="none" w:sz="0" w:space="0" w:color="auto"/>
          </w:divBdr>
        </w:div>
      </w:divsChild>
    </w:div>
    <w:div w:id="55570461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51">
          <w:marLeft w:val="0"/>
          <w:marRight w:val="0"/>
          <w:marTop w:val="0"/>
          <w:marBottom w:val="0"/>
          <w:divBdr>
            <w:top w:val="none" w:sz="0" w:space="0" w:color="auto"/>
            <w:left w:val="none" w:sz="0" w:space="0" w:color="auto"/>
            <w:bottom w:val="none" w:sz="0" w:space="0" w:color="auto"/>
            <w:right w:val="none" w:sz="0" w:space="0" w:color="auto"/>
          </w:divBdr>
        </w:div>
        <w:div w:id="585843914">
          <w:marLeft w:val="0"/>
          <w:marRight w:val="0"/>
          <w:marTop w:val="0"/>
          <w:marBottom w:val="0"/>
          <w:divBdr>
            <w:top w:val="none" w:sz="0" w:space="0" w:color="auto"/>
            <w:left w:val="none" w:sz="0" w:space="0" w:color="auto"/>
            <w:bottom w:val="none" w:sz="0" w:space="0" w:color="auto"/>
            <w:right w:val="none" w:sz="0" w:space="0" w:color="auto"/>
          </w:divBdr>
        </w:div>
        <w:div w:id="592130863">
          <w:marLeft w:val="0"/>
          <w:marRight w:val="0"/>
          <w:marTop w:val="0"/>
          <w:marBottom w:val="0"/>
          <w:divBdr>
            <w:top w:val="none" w:sz="0" w:space="0" w:color="auto"/>
            <w:left w:val="none" w:sz="0" w:space="0" w:color="auto"/>
            <w:bottom w:val="none" w:sz="0" w:space="0" w:color="auto"/>
            <w:right w:val="none" w:sz="0" w:space="0" w:color="auto"/>
          </w:divBdr>
        </w:div>
      </w:divsChild>
    </w:div>
    <w:div w:id="581372690">
      <w:bodyDiv w:val="1"/>
      <w:marLeft w:val="0"/>
      <w:marRight w:val="0"/>
      <w:marTop w:val="0"/>
      <w:marBottom w:val="0"/>
      <w:divBdr>
        <w:top w:val="none" w:sz="0" w:space="0" w:color="auto"/>
        <w:left w:val="none" w:sz="0" w:space="0" w:color="auto"/>
        <w:bottom w:val="none" w:sz="0" w:space="0" w:color="auto"/>
        <w:right w:val="none" w:sz="0" w:space="0" w:color="auto"/>
      </w:divBdr>
      <w:divsChild>
        <w:div w:id="1720859888">
          <w:marLeft w:val="0"/>
          <w:marRight w:val="0"/>
          <w:marTop w:val="0"/>
          <w:marBottom w:val="0"/>
          <w:divBdr>
            <w:top w:val="none" w:sz="0" w:space="0" w:color="auto"/>
            <w:left w:val="none" w:sz="0" w:space="0" w:color="auto"/>
            <w:bottom w:val="none" w:sz="0" w:space="0" w:color="auto"/>
            <w:right w:val="none" w:sz="0" w:space="0" w:color="auto"/>
          </w:divBdr>
        </w:div>
        <w:div w:id="1606227871">
          <w:marLeft w:val="0"/>
          <w:marRight w:val="0"/>
          <w:marTop w:val="0"/>
          <w:marBottom w:val="0"/>
          <w:divBdr>
            <w:top w:val="none" w:sz="0" w:space="0" w:color="auto"/>
            <w:left w:val="none" w:sz="0" w:space="0" w:color="auto"/>
            <w:bottom w:val="none" w:sz="0" w:space="0" w:color="auto"/>
            <w:right w:val="none" w:sz="0" w:space="0" w:color="auto"/>
          </w:divBdr>
        </w:div>
        <w:div w:id="887716242">
          <w:marLeft w:val="0"/>
          <w:marRight w:val="0"/>
          <w:marTop w:val="0"/>
          <w:marBottom w:val="0"/>
          <w:divBdr>
            <w:top w:val="none" w:sz="0" w:space="0" w:color="auto"/>
            <w:left w:val="none" w:sz="0" w:space="0" w:color="auto"/>
            <w:bottom w:val="none" w:sz="0" w:space="0" w:color="auto"/>
            <w:right w:val="none" w:sz="0" w:space="0" w:color="auto"/>
          </w:divBdr>
        </w:div>
        <w:div w:id="280460723">
          <w:marLeft w:val="0"/>
          <w:marRight w:val="0"/>
          <w:marTop w:val="0"/>
          <w:marBottom w:val="0"/>
          <w:divBdr>
            <w:top w:val="none" w:sz="0" w:space="0" w:color="auto"/>
            <w:left w:val="none" w:sz="0" w:space="0" w:color="auto"/>
            <w:bottom w:val="none" w:sz="0" w:space="0" w:color="auto"/>
            <w:right w:val="none" w:sz="0" w:space="0" w:color="auto"/>
          </w:divBdr>
        </w:div>
        <w:div w:id="1533372492">
          <w:marLeft w:val="0"/>
          <w:marRight w:val="0"/>
          <w:marTop w:val="0"/>
          <w:marBottom w:val="0"/>
          <w:divBdr>
            <w:top w:val="none" w:sz="0" w:space="0" w:color="auto"/>
            <w:left w:val="none" w:sz="0" w:space="0" w:color="auto"/>
            <w:bottom w:val="none" w:sz="0" w:space="0" w:color="auto"/>
            <w:right w:val="none" w:sz="0" w:space="0" w:color="auto"/>
          </w:divBdr>
        </w:div>
        <w:div w:id="1683437128">
          <w:marLeft w:val="0"/>
          <w:marRight w:val="0"/>
          <w:marTop w:val="0"/>
          <w:marBottom w:val="0"/>
          <w:divBdr>
            <w:top w:val="none" w:sz="0" w:space="0" w:color="auto"/>
            <w:left w:val="none" w:sz="0" w:space="0" w:color="auto"/>
            <w:bottom w:val="none" w:sz="0" w:space="0" w:color="auto"/>
            <w:right w:val="none" w:sz="0" w:space="0" w:color="auto"/>
          </w:divBdr>
        </w:div>
        <w:div w:id="2106537885">
          <w:marLeft w:val="0"/>
          <w:marRight w:val="0"/>
          <w:marTop w:val="0"/>
          <w:marBottom w:val="0"/>
          <w:divBdr>
            <w:top w:val="none" w:sz="0" w:space="0" w:color="auto"/>
            <w:left w:val="none" w:sz="0" w:space="0" w:color="auto"/>
            <w:bottom w:val="none" w:sz="0" w:space="0" w:color="auto"/>
            <w:right w:val="none" w:sz="0" w:space="0" w:color="auto"/>
          </w:divBdr>
        </w:div>
      </w:divsChild>
    </w:div>
    <w:div w:id="673872958">
      <w:bodyDiv w:val="1"/>
      <w:marLeft w:val="0"/>
      <w:marRight w:val="0"/>
      <w:marTop w:val="0"/>
      <w:marBottom w:val="0"/>
      <w:divBdr>
        <w:top w:val="none" w:sz="0" w:space="0" w:color="auto"/>
        <w:left w:val="none" w:sz="0" w:space="0" w:color="auto"/>
        <w:bottom w:val="none" w:sz="0" w:space="0" w:color="auto"/>
        <w:right w:val="none" w:sz="0" w:space="0" w:color="auto"/>
      </w:divBdr>
      <w:divsChild>
        <w:div w:id="1450398030">
          <w:marLeft w:val="0"/>
          <w:marRight w:val="0"/>
          <w:marTop w:val="0"/>
          <w:marBottom w:val="0"/>
          <w:divBdr>
            <w:top w:val="none" w:sz="0" w:space="0" w:color="auto"/>
            <w:left w:val="none" w:sz="0" w:space="0" w:color="auto"/>
            <w:bottom w:val="none" w:sz="0" w:space="0" w:color="auto"/>
            <w:right w:val="none" w:sz="0" w:space="0" w:color="auto"/>
          </w:divBdr>
        </w:div>
        <w:div w:id="1276404014">
          <w:marLeft w:val="0"/>
          <w:marRight w:val="0"/>
          <w:marTop w:val="0"/>
          <w:marBottom w:val="0"/>
          <w:divBdr>
            <w:top w:val="none" w:sz="0" w:space="0" w:color="auto"/>
            <w:left w:val="none" w:sz="0" w:space="0" w:color="auto"/>
            <w:bottom w:val="none" w:sz="0" w:space="0" w:color="auto"/>
            <w:right w:val="none" w:sz="0" w:space="0" w:color="auto"/>
          </w:divBdr>
        </w:div>
        <w:div w:id="901671783">
          <w:marLeft w:val="0"/>
          <w:marRight w:val="0"/>
          <w:marTop w:val="0"/>
          <w:marBottom w:val="0"/>
          <w:divBdr>
            <w:top w:val="none" w:sz="0" w:space="0" w:color="auto"/>
            <w:left w:val="none" w:sz="0" w:space="0" w:color="auto"/>
            <w:bottom w:val="none" w:sz="0" w:space="0" w:color="auto"/>
            <w:right w:val="none" w:sz="0" w:space="0" w:color="auto"/>
          </w:divBdr>
        </w:div>
        <w:div w:id="1670936937">
          <w:marLeft w:val="0"/>
          <w:marRight w:val="0"/>
          <w:marTop w:val="0"/>
          <w:marBottom w:val="0"/>
          <w:divBdr>
            <w:top w:val="none" w:sz="0" w:space="0" w:color="auto"/>
            <w:left w:val="none" w:sz="0" w:space="0" w:color="auto"/>
            <w:bottom w:val="none" w:sz="0" w:space="0" w:color="auto"/>
            <w:right w:val="none" w:sz="0" w:space="0" w:color="auto"/>
          </w:divBdr>
        </w:div>
        <w:div w:id="1560701813">
          <w:marLeft w:val="0"/>
          <w:marRight w:val="0"/>
          <w:marTop w:val="0"/>
          <w:marBottom w:val="0"/>
          <w:divBdr>
            <w:top w:val="none" w:sz="0" w:space="0" w:color="auto"/>
            <w:left w:val="none" w:sz="0" w:space="0" w:color="auto"/>
            <w:bottom w:val="none" w:sz="0" w:space="0" w:color="auto"/>
            <w:right w:val="none" w:sz="0" w:space="0" w:color="auto"/>
          </w:divBdr>
        </w:div>
        <w:div w:id="464785444">
          <w:marLeft w:val="0"/>
          <w:marRight w:val="0"/>
          <w:marTop w:val="0"/>
          <w:marBottom w:val="0"/>
          <w:divBdr>
            <w:top w:val="none" w:sz="0" w:space="0" w:color="auto"/>
            <w:left w:val="none" w:sz="0" w:space="0" w:color="auto"/>
            <w:bottom w:val="none" w:sz="0" w:space="0" w:color="auto"/>
            <w:right w:val="none" w:sz="0" w:space="0" w:color="auto"/>
          </w:divBdr>
        </w:div>
        <w:div w:id="874270786">
          <w:marLeft w:val="0"/>
          <w:marRight w:val="0"/>
          <w:marTop w:val="0"/>
          <w:marBottom w:val="0"/>
          <w:divBdr>
            <w:top w:val="none" w:sz="0" w:space="0" w:color="auto"/>
            <w:left w:val="none" w:sz="0" w:space="0" w:color="auto"/>
            <w:bottom w:val="none" w:sz="0" w:space="0" w:color="auto"/>
            <w:right w:val="none" w:sz="0" w:space="0" w:color="auto"/>
          </w:divBdr>
        </w:div>
        <w:div w:id="191580414">
          <w:marLeft w:val="0"/>
          <w:marRight w:val="0"/>
          <w:marTop w:val="0"/>
          <w:marBottom w:val="0"/>
          <w:divBdr>
            <w:top w:val="none" w:sz="0" w:space="0" w:color="auto"/>
            <w:left w:val="none" w:sz="0" w:space="0" w:color="auto"/>
            <w:bottom w:val="none" w:sz="0" w:space="0" w:color="auto"/>
            <w:right w:val="none" w:sz="0" w:space="0" w:color="auto"/>
          </w:divBdr>
        </w:div>
        <w:div w:id="1137140114">
          <w:marLeft w:val="0"/>
          <w:marRight w:val="0"/>
          <w:marTop w:val="0"/>
          <w:marBottom w:val="0"/>
          <w:divBdr>
            <w:top w:val="none" w:sz="0" w:space="0" w:color="auto"/>
            <w:left w:val="none" w:sz="0" w:space="0" w:color="auto"/>
            <w:bottom w:val="none" w:sz="0" w:space="0" w:color="auto"/>
            <w:right w:val="none" w:sz="0" w:space="0" w:color="auto"/>
          </w:divBdr>
        </w:div>
        <w:div w:id="1205094876">
          <w:marLeft w:val="0"/>
          <w:marRight w:val="0"/>
          <w:marTop w:val="0"/>
          <w:marBottom w:val="0"/>
          <w:divBdr>
            <w:top w:val="none" w:sz="0" w:space="0" w:color="auto"/>
            <w:left w:val="none" w:sz="0" w:space="0" w:color="auto"/>
            <w:bottom w:val="none" w:sz="0" w:space="0" w:color="auto"/>
            <w:right w:val="none" w:sz="0" w:space="0" w:color="auto"/>
          </w:divBdr>
        </w:div>
      </w:divsChild>
    </w:div>
    <w:div w:id="678848095">
      <w:bodyDiv w:val="1"/>
      <w:marLeft w:val="0"/>
      <w:marRight w:val="0"/>
      <w:marTop w:val="0"/>
      <w:marBottom w:val="0"/>
      <w:divBdr>
        <w:top w:val="none" w:sz="0" w:space="0" w:color="auto"/>
        <w:left w:val="none" w:sz="0" w:space="0" w:color="auto"/>
        <w:bottom w:val="none" w:sz="0" w:space="0" w:color="auto"/>
        <w:right w:val="none" w:sz="0" w:space="0" w:color="auto"/>
      </w:divBdr>
    </w:div>
    <w:div w:id="913777907">
      <w:bodyDiv w:val="1"/>
      <w:marLeft w:val="0"/>
      <w:marRight w:val="0"/>
      <w:marTop w:val="0"/>
      <w:marBottom w:val="0"/>
      <w:divBdr>
        <w:top w:val="none" w:sz="0" w:space="0" w:color="auto"/>
        <w:left w:val="none" w:sz="0" w:space="0" w:color="auto"/>
        <w:bottom w:val="none" w:sz="0" w:space="0" w:color="auto"/>
        <w:right w:val="none" w:sz="0" w:space="0" w:color="auto"/>
      </w:divBdr>
      <w:divsChild>
        <w:div w:id="285503186">
          <w:marLeft w:val="0"/>
          <w:marRight w:val="0"/>
          <w:marTop w:val="0"/>
          <w:marBottom w:val="0"/>
          <w:divBdr>
            <w:top w:val="none" w:sz="0" w:space="0" w:color="auto"/>
            <w:left w:val="none" w:sz="0" w:space="0" w:color="auto"/>
            <w:bottom w:val="none" w:sz="0" w:space="0" w:color="auto"/>
            <w:right w:val="none" w:sz="0" w:space="0" w:color="auto"/>
          </w:divBdr>
        </w:div>
        <w:div w:id="304743763">
          <w:marLeft w:val="0"/>
          <w:marRight w:val="0"/>
          <w:marTop w:val="0"/>
          <w:marBottom w:val="0"/>
          <w:divBdr>
            <w:top w:val="none" w:sz="0" w:space="0" w:color="auto"/>
            <w:left w:val="none" w:sz="0" w:space="0" w:color="auto"/>
            <w:bottom w:val="none" w:sz="0" w:space="0" w:color="auto"/>
            <w:right w:val="none" w:sz="0" w:space="0" w:color="auto"/>
          </w:divBdr>
        </w:div>
        <w:div w:id="1237351517">
          <w:marLeft w:val="0"/>
          <w:marRight w:val="0"/>
          <w:marTop w:val="0"/>
          <w:marBottom w:val="0"/>
          <w:divBdr>
            <w:top w:val="none" w:sz="0" w:space="0" w:color="auto"/>
            <w:left w:val="none" w:sz="0" w:space="0" w:color="auto"/>
            <w:bottom w:val="none" w:sz="0" w:space="0" w:color="auto"/>
            <w:right w:val="none" w:sz="0" w:space="0" w:color="auto"/>
          </w:divBdr>
        </w:div>
      </w:divsChild>
    </w:div>
    <w:div w:id="1041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nhauhmu@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5713-F719-43B1-9B72-699C5549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12036</Words>
  <Characters>68606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DREAMSTORE</dc:creator>
  <cp:keywords/>
  <dc:description/>
  <cp:lastModifiedBy>DREAMSTORE</cp:lastModifiedBy>
  <cp:revision>38</cp:revision>
  <dcterms:created xsi:type="dcterms:W3CDTF">2024-07-30T09:27:00Z</dcterms:created>
  <dcterms:modified xsi:type="dcterms:W3CDTF">2024-07-31T09:40:00Z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id="kA4z8BeZ"/&gt;&lt;style id="http://www.zotero.org/styles/american-medical-association" hasBibliography="1" bibliographyStyleHasBeenSet="1"/&gt;&lt;prefs&gt;&lt;pref name="fieldType" value="Field"/&gt;&lt;/prefs&gt;&lt;/data&gt;</vt:lpwstr>
  </property>
</Properties>
</file>