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B2" w:rsidRPr="00B2088E" w:rsidRDefault="008401B2" w:rsidP="008401B2">
      <w:pPr>
        <w:spacing w:after="0" w:line="240" w:lineRule="auto"/>
        <w:jc w:val="center"/>
        <w:rPr>
          <w:rFonts w:eastAsia="Times New Roman"/>
          <w:b/>
          <w:sz w:val="26"/>
          <w:szCs w:val="26"/>
        </w:rPr>
      </w:pPr>
      <w:r w:rsidRPr="00B2088E">
        <w:rPr>
          <w:rFonts w:eastAsia="Times New Roman"/>
          <w:b/>
          <w:sz w:val="26"/>
          <w:szCs w:val="26"/>
        </w:rPr>
        <w:t xml:space="preserve">KẾT QUẢ ĐIỀU TRỊ PACLITAXEL- CARBOPLATIN </w:t>
      </w:r>
      <w:r w:rsidR="00C72B38" w:rsidRPr="00B2088E">
        <w:rPr>
          <w:rFonts w:eastAsia="Times New Roman"/>
          <w:b/>
          <w:sz w:val="26"/>
          <w:szCs w:val="26"/>
        </w:rPr>
        <w:br/>
      </w:r>
      <w:r w:rsidRPr="00B2088E">
        <w:rPr>
          <w:rFonts w:eastAsia="Times New Roman"/>
          <w:b/>
          <w:sz w:val="26"/>
          <w:szCs w:val="26"/>
        </w:rPr>
        <w:t xml:space="preserve">UNG THƯ BIỂU MÔ TUYẾN ỨC </w:t>
      </w:r>
      <w:r w:rsidR="00C72B38" w:rsidRPr="00B2088E">
        <w:rPr>
          <w:rFonts w:eastAsia="Times New Roman"/>
          <w:b/>
          <w:sz w:val="26"/>
          <w:szCs w:val="26"/>
        </w:rPr>
        <w:t xml:space="preserve">DI CĂN </w:t>
      </w:r>
      <w:r w:rsidRPr="00B2088E">
        <w:rPr>
          <w:rFonts w:eastAsia="Times New Roman"/>
          <w:b/>
          <w:sz w:val="26"/>
          <w:szCs w:val="26"/>
        </w:rPr>
        <w:t>TẠI BỆNH VIỆN K</w:t>
      </w:r>
    </w:p>
    <w:p w:rsidR="00D557F7" w:rsidRDefault="0029553E" w:rsidP="00D557F7">
      <w:pPr>
        <w:spacing w:after="0" w:line="240" w:lineRule="auto"/>
        <w:jc w:val="right"/>
        <w:rPr>
          <w:b/>
          <w:i/>
          <w:sz w:val="24"/>
          <w:szCs w:val="24"/>
        </w:rPr>
      </w:pPr>
      <w:r w:rsidRPr="00B2088E">
        <w:rPr>
          <w:b/>
          <w:i/>
          <w:sz w:val="24"/>
          <w:szCs w:val="24"/>
        </w:rPr>
        <w:t>Bùi Xuân Thắng</w:t>
      </w:r>
      <w:r w:rsidRPr="00B2088E">
        <w:rPr>
          <w:b/>
          <w:i/>
          <w:sz w:val="24"/>
          <w:szCs w:val="24"/>
          <w:vertAlign w:val="superscript"/>
        </w:rPr>
        <w:t>1</w:t>
      </w:r>
      <w:r w:rsidR="00D557F7">
        <w:rPr>
          <w:b/>
          <w:i/>
          <w:sz w:val="24"/>
          <w:szCs w:val="24"/>
          <w:vertAlign w:val="superscript"/>
        </w:rPr>
        <w:t xml:space="preserve"> </w:t>
      </w:r>
      <w:r w:rsidR="00D557F7">
        <w:rPr>
          <w:b/>
          <w:i/>
          <w:sz w:val="24"/>
          <w:szCs w:val="24"/>
        </w:rPr>
        <w:t>, Nguyễn Thị Thái Hòa</w:t>
      </w:r>
      <w:r w:rsidR="00FF6AD0">
        <w:rPr>
          <w:b/>
          <w:i/>
          <w:sz w:val="24"/>
          <w:szCs w:val="24"/>
          <w:vertAlign w:val="superscript"/>
        </w:rPr>
        <w:t>1</w:t>
      </w:r>
      <w:r w:rsidR="00D557F7">
        <w:rPr>
          <w:b/>
          <w:i/>
          <w:sz w:val="24"/>
          <w:szCs w:val="24"/>
        </w:rPr>
        <w:t xml:space="preserve">, </w:t>
      </w:r>
      <w:r>
        <w:rPr>
          <w:b/>
          <w:i/>
          <w:sz w:val="24"/>
          <w:szCs w:val="24"/>
        </w:rPr>
        <w:t>Vũ Hà Thanh</w:t>
      </w:r>
      <w:r>
        <w:rPr>
          <w:b/>
          <w:i/>
          <w:sz w:val="24"/>
          <w:szCs w:val="24"/>
          <w:vertAlign w:val="superscript"/>
        </w:rPr>
        <w:t>1</w:t>
      </w:r>
      <w:r>
        <w:rPr>
          <w:b/>
          <w:i/>
          <w:sz w:val="24"/>
          <w:szCs w:val="24"/>
        </w:rPr>
        <w:t xml:space="preserve">, </w:t>
      </w:r>
      <w:r w:rsidR="00D557F7">
        <w:rPr>
          <w:b/>
          <w:i/>
          <w:sz w:val="24"/>
          <w:szCs w:val="24"/>
        </w:rPr>
        <w:br/>
      </w:r>
      <w:r w:rsidR="009F7355">
        <w:rPr>
          <w:b/>
          <w:i/>
          <w:sz w:val="24"/>
          <w:szCs w:val="24"/>
        </w:rPr>
        <w:t>Nguyễn Thị Thúy Hằng</w:t>
      </w:r>
      <w:r w:rsidR="009F7355">
        <w:rPr>
          <w:b/>
          <w:i/>
          <w:sz w:val="24"/>
          <w:szCs w:val="24"/>
          <w:vertAlign w:val="superscript"/>
        </w:rPr>
        <w:t>1</w:t>
      </w:r>
      <w:r w:rsidR="00D557F7">
        <w:rPr>
          <w:b/>
          <w:i/>
          <w:sz w:val="24"/>
          <w:szCs w:val="24"/>
        </w:rPr>
        <w:t xml:space="preserve">, </w:t>
      </w:r>
      <w:r w:rsidR="008401B2" w:rsidRPr="00B2088E">
        <w:rPr>
          <w:b/>
          <w:i/>
          <w:sz w:val="24"/>
          <w:szCs w:val="24"/>
        </w:rPr>
        <w:t xml:space="preserve">Nguyễn </w:t>
      </w:r>
      <w:r>
        <w:rPr>
          <w:b/>
          <w:i/>
          <w:sz w:val="24"/>
          <w:szCs w:val="24"/>
        </w:rPr>
        <w:t>Văn Cao</w:t>
      </w:r>
      <w:r w:rsidR="008401B2" w:rsidRPr="00B2088E">
        <w:rPr>
          <w:b/>
          <w:i/>
          <w:sz w:val="24"/>
          <w:szCs w:val="24"/>
          <w:vertAlign w:val="superscript"/>
        </w:rPr>
        <w:t>1</w:t>
      </w:r>
      <w:r w:rsidR="008401B2" w:rsidRPr="00B2088E">
        <w:rPr>
          <w:b/>
          <w:i/>
          <w:sz w:val="24"/>
          <w:szCs w:val="24"/>
        </w:rPr>
        <w:t>,</w:t>
      </w:r>
      <w:r>
        <w:rPr>
          <w:b/>
          <w:i/>
          <w:sz w:val="24"/>
          <w:szCs w:val="24"/>
        </w:rPr>
        <w:t xml:space="preserve"> Đoàn Thị Tuyế</w:t>
      </w:r>
      <w:r w:rsidR="009F7355">
        <w:rPr>
          <w:b/>
          <w:i/>
          <w:sz w:val="24"/>
          <w:szCs w:val="24"/>
        </w:rPr>
        <w:t xml:space="preserve">t, </w:t>
      </w:r>
    </w:p>
    <w:p w:rsidR="00D557F7" w:rsidRDefault="008401B2" w:rsidP="00D557F7">
      <w:pPr>
        <w:spacing w:after="0" w:line="240" w:lineRule="auto"/>
        <w:jc w:val="right"/>
        <w:rPr>
          <w:b/>
          <w:i/>
          <w:sz w:val="24"/>
          <w:szCs w:val="24"/>
        </w:rPr>
      </w:pPr>
      <w:r w:rsidRPr="00B2088E">
        <w:rPr>
          <w:b/>
          <w:i/>
          <w:sz w:val="24"/>
          <w:szCs w:val="24"/>
        </w:rPr>
        <w:t>Đào Khánh Linh</w:t>
      </w:r>
      <w:r w:rsidRPr="00B2088E">
        <w:rPr>
          <w:b/>
          <w:i/>
          <w:sz w:val="24"/>
          <w:szCs w:val="24"/>
          <w:vertAlign w:val="superscript"/>
        </w:rPr>
        <w:t>1</w:t>
      </w:r>
      <w:r w:rsidRPr="00B2088E">
        <w:rPr>
          <w:b/>
          <w:i/>
          <w:sz w:val="24"/>
          <w:szCs w:val="24"/>
        </w:rPr>
        <w:t xml:space="preserve">, </w:t>
      </w:r>
      <w:r w:rsidR="0029553E">
        <w:rPr>
          <w:b/>
          <w:i/>
          <w:sz w:val="24"/>
          <w:szCs w:val="24"/>
        </w:rPr>
        <w:t>Trương Công Minh</w:t>
      </w:r>
      <w:r w:rsidR="0029553E">
        <w:rPr>
          <w:b/>
          <w:i/>
          <w:sz w:val="24"/>
          <w:szCs w:val="24"/>
          <w:vertAlign w:val="superscript"/>
        </w:rPr>
        <w:t>1</w:t>
      </w:r>
      <w:r w:rsidR="0029553E">
        <w:rPr>
          <w:b/>
          <w:i/>
          <w:sz w:val="24"/>
          <w:szCs w:val="24"/>
        </w:rPr>
        <w:t xml:space="preserve">, </w:t>
      </w:r>
    </w:p>
    <w:p w:rsidR="0029553E" w:rsidRPr="00D557F7" w:rsidRDefault="0029553E" w:rsidP="00D557F7">
      <w:pPr>
        <w:spacing w:after="0" w:line="240" w:lineRule="auto"/>
        <w:jc w:val="right"/>
        <w:rPr>
          <w:b/>
          <w:i/>
          <w:sz w:val="24"/>
          <w:szCs w:val="24"/>
        </w:rPr>
      </w:pPr>
      <w:r>
        <w:rPr>
          <w:b/>
          <w:i/>
          <w:sz w:val="24"/>
          <w:szCs w:val="24"/>
        </w:rPr>
        <w:t>Nguyễn Tuấn Anh</w:t>
      </w:r>
      <w:r>
        <w:rPr>
          <w:b/>
          <w:i/>
          <w:sz w:val="24"/>
          <w:szCs w:val="24"/>
          <w:vertAlign w:val="superscript"/>
        </w:rPr>
        <w:t>1</w:t>
      </w:r>
      <w:r>
        <w:rPr>
          <w:b/>
          <w:i/>
          <w:sz w:val="24"/>
          <w:szCs w:val="24"/>
        </w:rPr>
        <w:t>, Lê Xuân Hà</w:t>
      </w:r>
      <w:r>
        <w:rPr>
          <w:b/>
          <w:i/>
          <w:sz w:val="24"/>
          <w:szCs w:val="24"/>
          <w:vertAlign w:val="superscript"/>
        </w:rPr>
        <w:t>2</w:t>
      </w:r>
    </w:p>
    <w:p w:rsidR="008401B2" w:rsidRPr="00B2088E" w:rsidRDefault="008401B2" w:rsidP="008401B2">
      <w:pPr>
        <w:spacing w:after="0" w:line="240" w:lineRule="auto"/>
        <w:jc w:val="right"/>
        <w:rPr>
          <w:i/>
          <w:sz w:val="24"/>
          <w:szCs w:val="24"/>
        </w:rPr>
      </w:pPr>
      <w:r w:rsidRPr="00B2088E">
        <w:rPr>
          <w:i/>
          <w:sz w:val="24"/>
          <w:szCs w:val="24"/>
          <w:vertAlign w:val="superscript"/>
        </w:rPr>
        <w:t>1</w:t>
      </w:r>
      <w:r w:rsidRPr="00B2088E">
        <w:rPr>
          <w:i/>
          <w:sz w:val="24"/>
          <w:szCs w:val="24"/>
        </w:rPr>
        <w:t>Bệnh việ</w:t>
      </w:r>
      <w:r w:rsidR="0029553E">
        <w:rPr>
          <w:i/>
          <w:sz w:val="24"/>
          <w:szCs w:val="24"/>
        </w:rPr>
        <w:t xml:space="preserve">n K, </w:t>
      </w:r>
      <w:r w:rsidR="0029553E" w:rsidRPr="001D123C">
        <w:rPr>
          <w:i/>
          <w:sz w:val="24"/>
          <w:szCs w:val="24"/>
          <w:vertAlign w:val="superscript"/>
        </w:rPr>
        <w:t>2</w:t>
      </w:r>
      <w:r w:rsidR="0029553E" w:rsidRPr="001D123C">
        <w:rPr>
          <w:i/>
          <w:sz w:val="24"/>
          <w:szCs w:val="24"/>
        </w:rPr>
        <w:t>Bệnh việ</w:t>
      </w:r>
      <w:r w:rsidR="0029553E">
        <w:rPr>
          <w:i/>
          <w:sz w:val="24"/>
          <w:szCs w:val="24"/>
        </w:rPr>
        <w:t>n Hữu Nghị</w:t>
      </w:r>
    </w:p>
    <w:p w:rsidR="008401B2" w:rsidRPr="00B2088E" w:rsidRDefault="008401B2" w:rsidP="008401B2">
      <w:pPr>
        <w:spacing w:after="0" w:line="240" w:lineRule="auto"/>
        <w:jc w:val="both"/>
        <w:rPr>
          <w:b/>
          <w:bCs/>
          <w:sz w:val="24"/>
          <w:szCs w:val="24"/>
        </w:rPr>
      </w:pPr>
      <w:r w:rsidRPr="00B2088E">
        <w:rPr>
          <w:b/>
          <w:bCs/>
          <w:sz w:val="24"/>
          <w:szCs w:val="24"/>
          <w:lang w:val="vi-VN"/>
        </w:rPr>
        <w:t xml:space="preserve">Chịu trách nhiệm chính: </w:t>
      </w:r>
      <w:r w:rsidR="003D6EF1" w:rsidRPr="00B2088E">
        <w:rPr>
          <w:b/>
          <w:bCs/>
          <w:sz w:val="24"/>
          <w:szCs w:val="24"/>
        </w:rPr>
        <w:t>Bùi Xuân Thắng</w:t>
      </w:r>
    </w:p>
    <w:p w:rsidR="008401B2" w:rsidRPr="00B2088E" w:rsidRDefault="008401B2" w:rsidP="008401B2">
      <w:pPr>
        <w:spacing w:after="0" w:line="240" w:lineRule="auto"/>
        <w:jc w:val="both"/>
        <w:rPr>
          <w:rFonts w:ascii="Calibri" w:hAnsi="Calibri"/>
          <w:color w:val="0563C1"/>
          <w:sz w:val="24"/>
          <w:szCs w:val="24"/>
          <w:u w:val="single"/>
        </w:rPr>
      </w:pPr>
      <w:r w:rsidRPr="00B2088E">
        <w:rPr>
          <w:b/>
          <w:bCs/>
          <w:sz w:val="24"/>
          <w:szCs w:val="24"/>
          <w:lang w:val="vi-VN"/>
        </w:rPr>
        <w:t>SĐT: 0</w:t>
      </w:r>
      <w:r w:rsidR="003D6EF1" w:rsidRPr="00B2088E">
        <w:rPr>
          <w:b/>
          <w:bCs/>
          <w:sz w:val="24"/>
          <w:szCs w:val="24"/>
        </w:rPr>
        <w:t>986671389</w:t>
      </w:r>
      <w:r w:rsidRPr="00B2088E">
        <w:rPr>
          <w:b/>
          <w:bCs/>
          <w:sz w:val="24"/>
          <w:szCs w:val="24"/>
          <w:lang w:val="vi-VN"/>
        </w:rPr>
        <w:t xml:space="preserve"> _ Email: </w:t>
      </w:r>
      <w:hyperlink r:id="rId6" w:history="1">
        <w:r w:rsidR="003D6EF1" w:rsidRPr="00B2088E">
          <w:rPr>
            <w:rStyle w:val="Hyperlink"/>
            <w:b/>
            <w:bCs/>
            <w:sz w:val="24"/>
            <w:szCs w:val="24"/>
          </w:rPr>
          <w:t>xuanthang30071996</w:t>
        </w:r>
        <w:r w:rsidR="003D6EF1" w:rsidRPr="00B2088E">
          <w:rPr>
            <w:rStyle w:val="Hyperlink"/>
            <w:b/>
            <w:bCs/>
            <w:sz w:val="24"/>
            <w:szCs w:val="24"/>
            <w:lang w:val="vi-VN"/>
          </w:rPr>
          <w:t>@gmail.com</w:t>
        </w:r>
      </w:hyperlink>
    </w:p>
    <w:p w:rsidR="008401B2" w:rsidRPr="000265F1" w:rsidRDefault="000265F1" w:rsidP="008401B2">
      <w:pPr>
        <w:spacing w:after="0" w:line="240" w:lineRule="auto"/>
        <w:jc w:val="both"/>
        <w:outlineLvl w:val="0"/>
        <w:rPr>
          <w:rFonts w:eastAsia="Times New Roman"/>
          <w:b/>
          <w:bCs/>
          <w:iCs/>
          <w:sz w:val="24"/>
          <w:szCs w:val="24"/>
        </w:rPr>
      </w:pPr>
      <w:r>
        <w:rPr>
          <w:rFonts w:eastAsia="Times New Roman"/>
          <w:b/>
          <w:bCs/>
          <w:iCs/>
          <w:sz w:val="24"/>
          <w:szCs w:val="24"/>
        </w:rPr>
        <w:t>TÓM TẮT</w:t>
      </w:r>
    </w:p>
    <w:p w:rsidR="008401B2" w:rsidRPr="005F5A29" w:rsidRDefault="008401B2" w:rsidP="004F54EA">
      <w:pPr>
        <w:spacing w:after="0" w:line="240" w:lineRule="auto"/>
        <w:jc w:val="both"/>
        <w:rPr>
          <w:rFonts w:eastAsia="Times New Roman"/>
          <w:bCs/>
          <w:iCs/>
          <w:sz w:val="22"/>
          <w:szCs w:val="22"/>
          <w:lang w:val="vi-VN"/>
        </w:rPr>
      </w:pPr>
      <w:r w:rsidRPr="005F5A29">
        <w:rPr>
          <w:rFonts w:eastAsia="Times New Roman"/>
          <w:b/>
          <w:bCs/>
          <w:iCs/>
          <w:sz w:val="22"/>
          <w:szCs w:val="22"/>
          <w:lang w:val="vi-VN"/>
        </w:rPr>
        <w:t>Mục tiêu</w:t>
      </w:r>
      <w:r w:rsidRPr="005F5A29">
        <w:rPr>
          <w:rFonts w:eastAsia="Times New Roman"/>
          <w:bCs/>
          <w:iCs/>
          <w:sz w:val="22"/>
          <w:szCs w:val="22"/>
          <w:lang w:val="vi-VN"/>
        </w:rPr>
        <w:t xml:space="preserve">: </w:t>
      </w:r>
      <w:r w:rsidRPr="005F5A29">
        <w:rPr>
          <w:rFonts w:eastAsia="Times New Roman"/>
          <w:iCs/>
          <w:color w:val="000000" w:themeColor="text1"/>
          <w:sz w:val="22"/>
          <w:szCs w:val="22"/>
          <w:lang w:val="nl-NL"/>
        </w:rPr>
        <w:t>Đánh giá</w:t>
      </w:r>
      <w:r w:rsidR="008D3B6C" w:rsidRPr="005F5A29">
        <w:rPr>
          <w:rFonts w:eastAsia="Times New Roman"/>
          <w:iCs/>
          <w:color w:val="000000" w:themeColor="text1"/>
          <w:sz w:val="22"/>
          <w:szCs w:val="22"/>
          <w:lang w:val="nl-NL"/>
        </w:rPr>
        <w:t xml:space="preserve"> đặc điểm lâm sàng, cận lâm sàng v</w:t>
      </w:r>
      <w:r w:rsidR="0005781C">
        <w:rPr>
          <w:rFonts w:eastAsia="Times New Roman"/>
          <w:iCs/>
          <w:color w:val="000000" w:themeColor="text1"/>
          <w:sz w:val="22"/>
          <w:szCs w:val="22"/>
          <w:lang w:val="nl-NL"/>
        </w:rPr>
        <w:t>à</w:t>
      </w:r>
      <w:r w:rsidR="008D3B6C" w:rsidRPr="005F5A29">
        <w:rPr>
          <w:rFonts w:eastAsia="Times New Roman"/>
          <w:iCs/>
          <w:color w:val="000000" w:themeColor="text1"/>
          <w:sz w:val="22"/>
          <w:szCs w:val="22"/>
          <w:lang w:val="nl-NL"/>
        </w:rPr>
        <w:t xml:space="preserve"> kết quả điều trị </w:t>
      </w:r>
      <w:r w:rsidR="007A222A" w:rsidRPr="005F5A29">
        <w:rPr>
          <w:rFonts w:eastAsia="Times New Roman"/>
          <w:iCs/>
          <w:color w:val="000000" w:themeColor="text1"/>
          <w:sz w:val="22"/>
          <w:szCs w:val="22"/>
          <w:lang w:val="nl-NL"/>
        </w:rPr>
        <w:t>của</w:t>
      </w:r>
      <w:r w:rsidRPr="005F5A29">
        <w:rPr>
          <w:rFonts w:eastAsia="Times New Roman"/>
          <w:iCs/>
          <w:color w:val="000000" w:themeColor="text1"/>
          <w:sz w:val="22"/>
          <w:szCs w:val="22"/>
          <w:lang w:val="nl-NL"/>
        </w:rPr>
        <w:t xml:space="preserve"> điều trị </w:t>
      </w:r>
      <w:r w:rsidRPr="005F5A29">
        <w:rPr>
          <w:rFonts w:eastAsia="Times New Roman"/>
          <w:iCs/>
          <w:color w:val="000000" w:themeColor="text1"/>
          <w:sz w:val="22"/>
          <w:szCs w:val="22"/>
        </w:rPr>
        <w:t>hóa chất Paclitaxel- Carboplatin trong ung thư biểu mô tuyến ức di căn tại Bệnh viện K.</w:t>
      </w:r>
    </w:p>
    <w:p w:rsidR="00E414DB" w:rsidRPr="005F5A29" w:rsidRDefault="00E414DB" w:rsidP="008401B2">
      <w:pPr>
        <w:spacing w:after="0"/>
        <w:jc w:val="both"/>
        <w:rPr>
          <w:rFonts w:eastAsia="Times New Roman"/>
          <w:bCs/>
          <w:iCs/>
          <w:sz w:val="22"/>
          <w:szCs w:val="22"/>
        </w:rPr>
      </w:pPr>
      <w:r w:rsidRPr="005F5A29">
        <w:rPr>
          <w:rFonts w:eastAsia="Times New Roman"/>
          <w:b/>
          <w:iCs/>
          <w:sz w:val="22"/>
          <w:szCs w:val="22"/>
        </w:rPr>
        <w:t>Đối tượng và p</w:t>
      </w:r>
      <w:r w:rsidR="008401B2" w:rsidRPr="005F5A29">
        <w:rPr>
          <w:rFonts w:eastAsia="Times New Roman"/>
          <w:b/>
          <w:iCs/>
          <w:sz w:val="22"/>
          <w:szCs w:val="22"/>
        </w:rPr>
        <w:t>hương pháp</w:t>
      </w:r>
      <w:r w:rsidRPr="005F5A29">
        <w:rPr>
          <w:rFonts w:eastAsia="Times New Roman"/>
          <w:b/>
          <w:iCs/>
          <w:sz w:val="22"/>
          <w:szCs w:val="22"/>
        </w:rPr>
        <w:t xml:space="preserve"> nghiên cứu</w:t>
      </w:r>
      <w:r w:rsidRPr="005F5A29">
        <w:rPr>
          <w:rFonts w:eastAsia="Times New Roman"/>
          <w:bCs/>
          <w:iCs/>
          <w:sz w:val="22"/>
          <w:szCs w:val="22"/>
        </w:rPr>
        <w:t>: nghiên cứu hổi cứu, theo dõi dọc trên bệnh nhân được chẩn đoán xác định UTBM tuyến ức giai đoạn di căn (AJCC 8</w:t>
      </w:r>
      <w:r w:rsidRPr="005F5A29">
        <w:rPr>
          <w:rFonts w:eastAsia="Times New Roman"/>
          <w:bCs/>
          <w:iCs/>
          <w:sz w:val="22"/>
          <w:szCs w:val="22"/>
          <w:vertAlign w:val="superscript"/>
        </w:rPr>
        <w:t>th</w:t>
      </w:r>
      <w:r w:rsidRPr="005F5A29">
        <w:rPr>
          <w:rFonts w:eastAsia="Times New Roman"/>
          <w:bCs/>
          <w:iCs/>
          <w:sz w:val="22"/>
          <w:szCs w:val="22"/>
        </w:rPr>
        <w:t xml:space="preserve">), được điều trị bằng phác đồ hóa chất Paclitaxel- Carboplatin </w:t>
      </w:r>
      <w:r w:rsidR="008401B2" w:rsidRPr="005F5A29">
        <w:rPr>
          <w:rFonts w:eastAsia="Times New Roman"/>
          <w:bCs/>
          <w:iCs/>
          <w:sz w:val="22"/>
          <w:szCs w:val="22"/>
        </w:rPr>
        <w:t>từ năm 2020 đến năm 2024</w:t>
      </w:r>
      <w:r w:rsidRPr="005F5A29">
        <w:rPr>
          <w:rFonts w:eastAsia="Times New Roman"/>
          <w:bCs/>
          <w:iCs/>
          <w:sz w:val="22"/>
          <w:szCs w:val="22"/>
        </w:rPr>
        <w:t>,</w:t>
      </w:r>
      <w:r w:rsidR="008401B2" w:rsidRPr="005F5A29">
        <w:rPr>
          <w:rFonts w:eastAsia="Times New Roman"/>
          <w:bCs/>
          <w:iCs/>
          <w:sz w:val="22"/>
          <w:szCs w:val="22"/>
        </w:rPr>
        <w:t xml:space="preserve"> tại bệnh viện K. </w:t>
      </w:r>
    </w:p>
    <w:p w:rsidR="008401B2" w:rsidRPr="005F5A29" w:rsidRDefault="008401B2" w:rsidP="008401B2">
      <w:pPr>
        <w:spacing w:after="0"/>
        <w:jc w:val="both"/>
        <w:rPr>
          <w:rFonts w:eastAsia="Times New Roman"/>
          <w:bCs/>
          <w:iCs/>
          <w:sz w:val="22"/>
          <w:szCs w:val="22"/>
        </w:rPr>
      </w:pPr>
      <w:r w:rsidRPr="005F5A29">
        <w:rPr>
          <w:rFonts w:eastAsia="Times New Roman"/>
          <w:b/>
          <w:iCs/>
          <w:sz w:val="22"/>
          <w:szCs w:val="22"/>
        </w:rPr>
        <w:t>Kết quả</w:t>
      </w:r>
      <w:r w:rsidRPr="005F5A29">
        <w:rPr>
          <w:rFonts w:eastAsia="Times New Roman"/>
          <w:bCs/>
          <w:iCs/>
          <w:sz w:val="22"/>
          <w:szCs w:val="22"/>
        </w:rPr>
        <w:t xml:space="preserve">: </w:t>
      </w:r>
      <w:r w:rsidR="00E414DB" w:rsidRPr="005F5A29">
        <w:rPr>
          <w:rFonts w:eastAsia="Times New Roman"/>
          <w:bCs/>
          <w:iCs/>
          <w:sz w:val="22"/>
          <w:szCs w:val="22"/>
        </w:rPr>
        <w:t xml:space="preserve">nghiên cứu trên </w:t>
      </w:r>
      <w:r w:rsidRPr="005F5A29">
        <w:rPr>
          <w:rFonts w:eastAsia="Times New Roman"/>
          <w:bCs/>
          <w:iCs/>
          <w:sz w:val="22"/>
          <w:szCs w:val="22"/>
        </w:rPr>
        <w:t>20</w:t>
      </w:r>
      <w:r w:rsidR="00E414DB" w:rsidRPr="005F5A29">
        <w:rPr>
          <w:rFonts w:eastAsia="Times New Roman"/>
          <w:bCs/>
          <w:iCs/>
          <w:sz w:val="22"/>
          <w:szCs w:val="22"/>
        </w:rPr>
        <w:t xml:space="preserve"> bệnh nhân</w:t>
      </w:r>
      <w:r w:rsidR="00DE0F44" w:rsidRPr="005F5A29">
        <w:rPr>
          <w:rFonts w:eastAsia="Times New Roman"/>
          <w:bCs/>
          <w:iCs/>
          <w:sz w:val="22"/>
          <w:szCs w:val="22"/>
        </w:rPr>
        <w:t>: tuổi trung bình là 56,4, tỉ lệ nam giới 65%, nữ 35%, ECOG 0 chiếm 70%,</w:t>
      </w:r>
      <w:r w:rsidR="00CB1A8E" w:rsidRPr="005F5A29">
        <w:rPr>
          <w:rFonts w:eastAsia="Times New Roman"/>
          <w:bCs/>
          <w:iCs/>
          <w:sz w:val="22"/>
          <w:szCs w:val="22"/>
        </w:rPr>
        <w:t xml:space="preserve"> ECOG 1 chiếm 30%,</w:t>
      </w:r>
      <w:r w:rsidR="00DE0F44" w:rsidRPr="005F5A29">
        <w:rPr>
          <w:rFonts w:eastAsia="Times New Roman"/>
          <w:bCs/>
          <w:iCs/>
          <w:sz w:val="22"/>
          <w:szCs w:val="22"/>
        </w:rPr>
        <w:t xml:space="preserve"> thể mô bệnh học</w:t>
      </w:r>
      <w:r w:rsidR="00CB1A8E" w:rsidRPr="005F5A29">
        <w:rPr>
          <w:rFonts w:eastAsia="Times New Roman"/>
          <w:bCs/>
          <w:iCs/>
          <w:sz w:val="22"/>
          <w:szCs w:val="22"/>
        </w:rPr>
        <w:t xml:space="preserve"> chủ yếu</w:t>
      </w:r>
      <w:r w:rsidR="00DE0F44" w:rsidRPr="005F5A29">
        <w:rPr>
          <w:rFonts w:eastAsia="Times New Roman"/>
          <w:bCs/>
          <w:iCs/>
          <w:sz w:val="22"/>
          <w:szCs w:val="22"/>
        </w:rPr>
        <w:t xml:space="preserve"> là carcinoma vảy</w:t>
      </w:r>
      <w:r w:rsidR="00E45263" w:rsidRPr="005F5A29">
        <w:rPr>
          <w:rFonts w:eastAsia="Times New Roman"/>
          <w:bCs/>
          <w:iCs/>
          <w:sz w:val="22"/>
          <w:szCs w:val="22"/>
        </w:rPr>
        <w:t xml:space="preserve"> (70%)</w:t>
      </w:r>
      <w:r w:rsidR="00DE0F44" w:rsidRPr="005F5A29">
        <w:rPr>
          <w:rFonts w:eastAsia="Times New Roman"/>
          <w:bCs/>
          <w:iCs/>
          <w:sz w:val="22"/>
          <w:szCs w:val="22"/>
        </w:rPr>
        <w:t>. Kết quả điều trị</w:t>
      </w:r>
      <w:r w:rsidRPr="005F5A29">
        <w:rPr>
          <w:rFonts w:eastAsia="Times New Roman"/>
          <w:bCs/>
          <w:iCs/>
          <w:sz w:val="22"/>
          <w:szCs w:val="22"/>
        </w:rPr>
        <w:t>: tỷ lệ đáp ứng là 45%</w:t>
      </w:r>
      <w:r w:rsidR="00E414DB" w:rsidRPr="005F5A29">
        <w:rPr>
          <w:rFonts w:eastAsia="Times New Roman"/>
          <w:bCs/>
          <w:iCs/>
          <w:sz w:val="22"/>
          <w:szCs w:val="22"/>
        </w:rPr>
        <w:t>,</w:t>
      </w:r>
      <w:r w:rsidRPr="005F5A29">
        <w:rPr>
          <w:rFonts w:eastAsia="Times New Roman"/>
          <w:bCs/>
          <w:iCs/>
          <w:sz w:val="22"/>
          <w:szCs w:val="22"/>
        </w:rPr>
        <w:t xml:space="preserve"> tỷ lệ kiểm soát bệnh (DCR) là 75%. T</w:t>
      </w:r>
      <w:r w:rsidR="004F54EA" w:rsidRPr="005F5A29">
        <w:rPr>
          <w:rFonts w:eastAsia="Times New Roman"/>
          <w:bCs/>
          <w:iCs/>
          <w:sz w:val="22"/>
          <w:szCs w:val="22"/>
        </w:rPr>
        <w:t>r</w:t>
      </w:r>
      <w:r w:rsidR="00E414DB" w:rsidRPr="005F5A29">
        <w:rPr>
          <w:rFonts w:eastAsia="Times New Roman"/>
          <w:bCs/>
          <w:iCs/>
          <w:sz w:val="22"/>
          <w:szCs w:val="22"/>
        </w:rPr>
        <w:t>ung vị t</w:t>
      </w:r>
      <w:r w:rsidRPr="005F5A29">
        <w:rPr>
          <w:rFonts w:eastAsia="Times New Roman"/>
          <w:bCs/>
          <w:iCs/>
          <w:sz w:val="22"/>
          <w:szCs w:val="22"/>
        </w:rPr>
        <w:t xml:space="preserve">hời gian sống không </w:t>
      </w:r>
      <w:r w:rsidR="00E414DB" w:rsidRPr="005F5A29">
        <w:rPr>
          <w:rFonts w:eastAsia="Times New Roman"/>
          <w:bCs/>
          <w:iCs/>
          <w:sz w:val="22"/>
          <w:szCs w:val="22"/>
        </w:rPr>
        <w:t xml:space="preserve">bệnh </w:t>
      </w:r>
      <w:r w:rsidRPr="005F5A29">
        <w:rPr>
          <w:rFonts w:eastAsia="Times New Roman"/>
          <w:bCs/>
          <w:iCs/>
          <w:sz w:val="22"/>
          <w:szCs w:val="22"/>
        </w:rPr>
        <w:t>tiến triển (</w:t>
      </w:r>
      <w:r w:rsidR="00E414DB" w:rsidRPr="005F5A29">
        <w:rPr>
          <w:rFonts w:eastAsia="Times New Roman"/>
          <w:bCs/>
          <w:iCs/>
          <w:sz w:val="22"/>
          <w:szCs w:val="22"/>
        </w:rPr>
        <w:t>m</w:t>
      </w:r>
      <w:r w:rsidRPr="005F5A29">
        <w:rPr>
          <w:rFonts w:eastAsia="Times New Roman"/>
          <w:bCs/>
          <w:iCs/>
          <w:sz w:val="22"/>
          <w:szCs w:val="22"/>
        </w:rPr>
        <w:t>PFS) là 8,7 tháng</w:t>
      </w:r>
      <w:r w:rsidR="00CB1A8E" w:rsidRPr="005F5A29">
        <w:rPr>
          <w:rFonts w:eastAsia="Times New Roman"/>
          <w:bCs/>
          <w:iCs/>
          <w:sz w:val="22"/>
          <w:szCs w:val="22"/>
        </w:rPr>
        <w:t xml:space="preserve"> sau theo dõi 15,6 tháng</w:t>
      </w:r>
      <w:r w:rsidRPr="005F5A29">
        <w:rPr>
          <w:rFonts w:eastAsia="Times New Roman"/>
          <w:bCs/>
          <w:iCs/>
          <w:sz w:val="22"/>
          <w:szCs w:val="22"/>
        </w:rPr>
        <w:t xml:space="preserve">. Độc tính liên quan đến phác đồ trên hệ thống tạo huyết với tỉ lệ thiếu máu </w:t>
      </w:r>
      <w:r w:rsidR="00CB1A8E" w:rsidRPr="005F5A29">
        <w:rPr>
          <w:rFonts w:eastAsia="Times New Roman"/>
          <w:bCs/>
          <w:iCs/>
          <w:sz w:val="22"/>
          <w:szCs w:val="22"/>
        </w:rPr>
        <w:t>55</w:t>
      </w:r>
      <w:r w:rsidRPr="005F5A29">
        <w:rPr>
          <w:rFonts w:eastAsia="Times New Roman"/>
          <w:bCs/>
          <w:iCs/>
          <w:sz w:val="22"/>
          <w:szCs w:val="22"/>
        </w:rPr>
        <w:t xml:space="preserve">% (độ 3 chiếm 5%), hạ bạch cầu trung tính </w:t>
      </w:r>
      <w:r w:rsidR="00CB1A8E" w:rsidRPr="005F5A29">
        <w:rPr>
          <w:rFonts w:eastAsia="Times New Roman"/>
          <w:bCs/>
          <w:iCs/>
          <w:sz w:val="22"/>
          <w:szCs w:val="22"/>
        </w:rPr>
        <w:t>55</w:t>
      </w:r>
      <w:r w:rsidRPr="005F5A29">
        <w:rPr>
          <w:rFonts w:eastAsia="Times New Roman"/>
          <w:bCs/>
          <w:iCs/>
          <w:sz w:val="22"/>
          <w:szCs w:val="22"/>
        </w:rPr>
        <w:t xml:space="preserve">% (độ 3 chiếm 10%). </w:t>
      </w:r>
      <w:r w:rsidR="00CB1A8E" w:rsidRPr="005F5A29">
        <w:rPr>
          <w:rFonts w:eastAsia="Times New Roman"/>
          <w:bCs/>
          <w:iCs/>
          <w:sz w:val="22"/>
          <w:szCs w:val="22"/>
        </w:rPr>
        <w:t>Độc tính ngoài huyết học hay gặp trên hệ thần kinh ngoại vy (40%) và tăng AST/ALT (45%), chủ yếu độ 1, độ 2.</w:t>
      </w:r>
    </w:p>
    <w:p w:rsidR="004301E9" w:rsidRPr="005F5A29" w:rsidRDefault="008401B2" w:rsidP="0001299C">
      <w:pPr>
        <w:spacing w:after="0"/>
        <w:jc w:val="both"/>
        <w:rPr>
          <w:rFonts w:eastAsia="Times New Roman"/>
          <w:bCs/>
          <w:iCs/>
          <w:sz w:val="22"/>
          <w:szCs w:val="22"/>
        </w:rPr>
      </w:pPr>
      <w:r w:rsidRPr="005F5A29">
        <w:rPr>
          <w:rFonts w:eastAsia="Times New Roman"/>
          <w:b/>
          <w:iCs/>
          <w:sz w:val="22"/>
          <w:szCs w:val="22"/>
        </w:rPr>
        <w:t>Kết luận</w:t>
      </w:r>
      <w:r w:rsidRPr="005F5A29">
        <w:rPr>
          <w:rFonts w:eastAsia="Times New Roman"/>
          <w:bCs/>
          <w:iCs/>
          <w:sz w:val="22"/>
          <w:szCs w:val="22"/>
        </w:rPr>
        <w:t xml:space="preserve">: </w:t>
      </w:r>
      <w:r w:rsidR="00726CC8" w:rsidRPr="005F5A29">
        <w:rPr>
          <w:rFonts w:eastAsia="Times New Roman"/>
          <w:bCs/>
          <w:iCs/>
          <w:sz w:val="22"/>
          <w:szCs w:val="22"/>
        </w:rPr>
        <w:t>P</w:t>
      </w:r>
      <w:r w:rsidRPr="005F5A29">
        <w:rPr>
          <w:rFonts w:eastAsia="Times New Roman"/>
          <w:bCs/>
          <w:iCs/>
          <w:sz w:val="22"/>
          <w:szCs w:val="22"/>
        </w:rPr>
        <w:t xml:space="preserve">hác đồ phối hợp paclitaxel và carboplatin là một lựa chọn </w:t>
      </w:r>
      <w:r w:rsidR="00726CC8" w:rsidRPr="005F5A29">
        <w:rPr>
          <w:rFonts w:eastAsia="Times New Roman"/>
          <w:bCs/>
          <w:iCs/>
          <w:sz w:val="22"/>
          <w:szCs w:val="22"/>
        </w:rPr>
        <w:t>có hiệu quả</w:t>
      </w:r>
      <w:r w:rsidRPr="005F5A29">
        <w:rPr>
          <w:rFonts w:eastAsia="Times New Roman"/>
          <w:bCs/>
          <w:iCs/>
          <w:sz w:val="22"/>
          <w:szCs w:val="22"/>
        </w:rPr>
        <w:t xml:space="preserve"> trong điều trị ung thư biểu mô tuyến ức giai đoạn di căn mà chưa được điều trị toàn thân trước đó.</w:t>
      </w:r>
    </w:p>
    <w:p w:rsidR="004301E9" w:rsidRPr="00B2088E" w:rsidRDefault="004301E9" w:rsidP="0001299C">
      <w:pPr>
        <w:spacing w:after="0"/>
        <w:jc w:val="both"/>
        <w:rPr>
          <w:rFonts w:eastAsia="Times New Roman"/>
          <w:b/>
          <w:iCs/>
          <w:sz w:val="24"/>
          <w:szCs w:val="24"/>
        </w:rPr>
      </w:pPr>
      <w:r w:rsidRPr="00B2088E">
        <w:rPr>
          <w:rFonts w:eastAsia="Times New Roman"/>
          <w:b/>
          <w:iCs/>
          <w:sz w:val="24"/>
          <w:szCs w:val="24"/>
        </w:rPr>
        <w:t>SUMMARY</w:t>
      </w:r>
    </w:p>
    <w:p w:rsidR="004301E9" w:rsidRPr="00B2088E" w:rsidRDefault="004301E9" w:rsidP="004301E9">
      <w:pPr>
        <w:spacing w:after="0"/>
        <w:jc w:val="center"/>
        <w:rPr>
          <w:rFonts w:eastAsia="Times New Roman"/>
          <w:b/>
          <w:iCs/>
          <w:sz w:val="26"/>
          <w:szCs w:val="26"/>
        </w:rPr>
      </w:pPr>
      <w:r w:rsidRPr="00B2088E">
        <w:rPr>
          <w:rFonts w:eastAsia="Times New Roman"/>
          <w:b/>
          <w:iCs/>
          <w:sz w:val="26"/>
          <w:szCs w:val="26"/>
        </w:rPr>
        <w:t>RESULTS OF CHEMOTHERAPY PACLITAXEL- CARBOPLATIN TREATMENT IN METASTATIC THYMIC CARCINOMA AT K HOSPITAL</w:t>
      </w:r>
    </w:p>
    <w:p w:rsidR="00E45263" w:rsidRPr="005F5A29" w:rsidRDefault="00E45263" w:rsidP="00E45263">
      <w:pPr>
        <w:spacing w:after="0"/>
        <w:jc w:val="both"/>
        <w:rPr>
          <w:rFonts w:eastAsia="Times New Roman"/>
          <w:bCs/>
          <w:i/>
          <w:iCs/>
          <w:sz w:val="22"/>
          <w:szCs w:val="22"/>
        </w:rPr>
      </w:pPr>
      <w:r w:rsidRPr="005F5A29">
        <w:rPr>
          <w:rFonts w:eastAsia="Times New Roman"/>
          <w:b/>
          <w:bCs/>
          <w:i/>
          <w:iCs/>
          <w:sz w:val="22"/>
          <w:szCs w:val="22"/>
        </w:rPr>
        <w:t>Objective</w:t>
      </w:r>
      <w:r w:rsidRPr="005F5A29">
        <w:rPr>
          <w:rFonts w:eastAsia="Times New Roman"/>
          <w:bCs/>
          <w:i/>
          <w:iCs/>
          <w:sz w:val="22"/>
          <w:szCs w:val="22"/>
        </w:rPr>
        <w:t xml:space="preserve">: </w:t>
      </w:r>
      <w:r w:rsidR="00B90D8E" w:rsidRPr="005F5A29">
        <w:rPr>
          <w:rFonts w:eastAsia="Times New Roman"/>
          <w:bCs/>
          <w:i/>
          <w:iCs/>
          <w:sz w:val="22"/>
          <w:szCs w:val="22"/>
        </w:rPr>
        <w:t>Evaluation of clinical and paraclinical characteristics and treatment results of Paclitaxel-Carboplatin in metastatic thymic carcinoma at K Hospital</w:t>
      </w:r>
      <w:r w:rsidRPr="005F5A29">
        <w:rPr>
          <w:rFonts w:eastAsia="Times New Roman"/>
          <w:bCs/>
          <w:i/>
          <w:iCs/>
          <w:sz w:val="22"/>
          <w:szCs w:val="22"/>
        </w:rPr>
        <w:t>.</w:t>
      </w:r>
    </w:p>
    <w:p w:rsidR="00E45263" w:rsidRPr="005F5A29" w:rsidRDefault="00E45263" w:rsidP="00E45263">
      <w:pPr>
        <w:spacing w:after="0"/>
        <w:jc w:val="both"/>
        <w:rPr>
          <w:rFonts w:eastAsia="Times New Roman"/>
          <w:bCs/>
          <w:i/>
          <w:iCs/>
          <w:sz w:val="22"/>
          <w:szCs w:val="22"/>
        </w:rPr>
      </w:pPr>
      <w:r w:rsidRPr="005F5A29">
        <w:rPr>
          <w:rFonts w:eastAsia="Times New Roman"/>
          <w:b/>
          <w:bCs/>
          <w:i/>
          <w:iCs/>
          <w:sz w:val="22"/>
          <w:szCs w:val="22"/>
        </w:rPr>
        <w:t>Subjects and Methods</w:t>
      </w:r>
      <w:r w:rsidRPr="005F5A29">
        <w:rPr>
          <w:rFonts w:eastAsia="Times New Roman"/>
          <w:bCs/>
          <w:i/>
          <w:iCs/>
          <w:sz w:val="22"/>
          <w:szCs w:val="22"/>
        </w:rPr>
        <w:t>: A retrospective study with longitudinal follow-up on patients diagnosed with metastatic thymic carcinoma (AJCC 8th edition), treated with the Paclitaxel-Carboplatin chemotherapy regimen from 2020 to 2024 at K Hospital.</w:t>
      </w:r>
    </w:p>
    <w:p w:rsidR="00E45263" w:rsidRPr="005F5A29" w:rsidRDefault="00E45263" w:rsidP="00E45263">
      <w:pPr>
        <w:spacing w:after="0"/>
        <w:jc w:val="both"/>
        <w:rPr>
          <w:rFonts w:eastAsia="Times New Roman"/>
          <w:bCs/>
          <w:i/>
          <w:iCs/>
          <w:sz w:val="22"/>
          <w:szCs w:val="22"/>
        </w:rPr>
      </w:pPr>
      <w:r w:rsidRPr="005F5A29">
        <w:rPr>
          <w:rFonts w:eastAsia="Times New Roman"/>
          <w:b/>
          <w:bCs/>
          <w:i/>
          <w:iCs/>
          <w:sz w:val="22"/>
          <w:szCs w:val="22"/>
        </w:rPr>
        <w:t>Results</w:t>
      </w:r>
      <w:r w:rsidRPr="005F5A29">
        <w:rPr>
          <w:rFonts w:eastAsia="Times New Roman"/>
          <w:bCs/>
          <w:i/>
          <w:iCs/>
          <w:sz w:val="22"/>
          <w:szCs w:val="22"/>
        </w:rPr>
        <w:t>: The study included 20 patients with an average age of 56.4 years; 65% were male and 35% were female. ECOG 0 accounted for 70% and ECOG 1 for 30%. The predominant histological type was squamous cell carcinoma (70%). The treatment results showed a response rate of 45% and a disease control rate (DCR) of 75%. The median progression-free survival (mPFS) was 8.7 months after a follow-up of 15.6 months. Hematologic toxicity related to the regimen included anemia in 55% of patients (grade 3 in 5%) and neutropenia in 55% (grade 3 in 10%). Non-hematologic toxicity was commonly observed in the peripheral nervous system (40%) and elevated AST/ALT levels (45%), mainly grades 1 and 2.</w:t>
      </w:r>
    </w:p>
    <w:p w:rsidR="00E45263" w:rsidRPr="005F5A29" w:rsidRDefault="00E45263" w:rsidP="00E45263">
      <w:pPr>
        <w:spacing w:after="0"/>
        <w:jc w:val="both"/>
        <w:rPr>
          <w:rFonts w:eastAsia="Times New Roman"/>
          <w:bCs/>
          <w:i/>
          <w:iCs/>
          <w:sz w:val="22"/>
          <w:szCs w:val="22"/>
        </w:rPr>
      </w:pPr>
      <w:r w:rsidRPr="005F5A29">
        <w:rPr>
          <w:rFonts w:eastAsia="Times New Roman"/>
          <w:b/>
          <w:bCs/>
          <w:i/>
          <w:iCs/>
          <w:sz w:val="22"/>
          <w:szCs w:val="22"/>
        </w:rPr>
        <w:t>Conclusion</w:t>
      </w:r>
      <w:r w:rsidRPr="005F5A29">
        <w:rPr>
          <w:rFonts w:eastAsia="Times New Roman"/>
          <w:bCs/>
          <w:i/>
          <w:iCs/>
          <w:sz w:val="22"/>
          <w:szCs w:val="22"/>
        </w:rPr>
        <w:t>: The combination of paclitaxel and carboplatin is an effective treatment option for metastatic thymic carcinoma in patients who have not previously received systemic therapy</w:t>
      </w:r>
    </w:p>
    <w:p w:rsidR="004301E9" w:rsidRPr="00B2088E" w:rsidRDefault="004301E9" w:rsidP="0001299C">
      <w:pPr>
        <w:spacing w:after="0"/>
        <w:jc w:val="both"/>
        <w:rPr>
          <w:rFonts w:eastAsia="Times New Roman"/>
          <w:bCs/>
          <w:iCs/>
          <w:sz w:val="24"/>
          <w:szCs w:val="24"/>
        </w:rPr>
      </w:pPr>
    </w:p>
    <w:p w:rsidR="005F1DD7" w:rsidRPr="0018668A" w:rsidRDefault="0001299C" w:rsidP="0018668A">
      <w:pPr>
        <w:pStyle w:val="ListParagraph"/>
        <w:numPr>
          <w:ilvl w:val="0"/>
          <w:numId w:val="21"/>
        </w:numPr>
        <w:spacing w:after="0" w:line="240" w:lineRule="auto"/>
        <w:jc w:val="both"/>
        <w:outlineLvl w:val="0"/>
        <w:rPr>
          <w:rFonts w:eastAsia="Times New Roman"/>
          <w:b/>
          <w:bCs/>
          <w:sz w:val="24"/>
          <w:szCs w:val="24"/>
          <w:lang w:val="vi-VN"/>
        </w:rPr>
      </w:pPr>
      <w:r w:rsidRPr="0018668A">
        <w:rPr>
          <w:rFonts w:eastAsia="Times New Roman"/>
          <w:b/>
          <w:bCs/>
          <w:sz w:val="24"/>
          <w:szCs w:val="24"/>
          <w:lang w:val="vi-VN"/>
        </w:rPr>
        <w:t>ĐẶT VẤN ĐỀ</w:t>
      </w:r>
    </w:p>
    <w:p w:rsidR="005F1DD7" w:rsidRPr="00B2088E" w:rsidRDefault="005F1DD7" w:rsidP="005F1DD7">
      <w:pPr>
        <w:spacing w:after="0" w:line="240" w:lineRule="auto"/>
        <w:jc w:val="both"/>
        <w:outlineLvl w:val="0"/>
        <w:rPr>
          <w:rFonts w:eastAsia="Times New Roman"/>
          <w:b/>
          <w:bCs/>
          <w:sz w:val="24"/>
          <w:szCs w:val="24"/>
        </w:rPr>
      </w:pPr>
      <w:r w:rsidRPr="00B2088E">
        <w:rPr>
          <w:rFonts w:eastAsia="Times New Roman"/>
          <w:color w:val="000000" w:themeColor="text1"/>
          <w:sz w:val="24"/>
          <w:szCs w:val="24"/>
          <w:lang w:val="nl-NL"/>
        </w:rPr>
        <w:t xml:space="preserve">      Ung thư biểu mô tuyến ức là một tổn thương ác tính hiểm gặp, biểu hiện tại trung thất trước, chiếm 5–36% trong số tất cả các khối u tuyến ức ác tính.</w:t>
      </w:r>
      <w:r w:rsidR="00CE4D53" w:rsidRPr="00B2088E">
        <w:rPr>
          <w:rFonts w:eastAsia="Times New Roman"/>
          <w:color w:val="000000" w:themeColor="text1"/>
          <w:sz w:val="24"/>
          <w:szCs w:val="24"/>
          <w:lang w:val="nl-NL"/>
        </w:rPr>
        <w:fldChar w:fldCharType="begin"/>
      </w:r>
      <w:r w:rsidR="009F6B11" w:rsidRPr="00B2088E">
        <w:rPr>
          <w:rFonts w:eastAsia="Times New Roman"/>
          <w:color w:val="000000" w:themeColor="text1"/>
          <w:sz w:val="24"/>
          <w:szCs w:val="24"/>
          <w:lang w:val="nl-NL"/>
        </w:rPr>
        <w:instrText xml:space="preserve"> ADDIN ZOTERO_ITEM CSL_CITATION {"citationID":"jCmsQc4r","properties":{"formattedCitation":"\\super 1\\uc0\\u8211{}3\\nosupersub{}","plainCitation":"1–3","noteIndex":0},"citationItems":[{"id":422,"uris":["http://zotero.org/users/10333225/items/FYE58N4I"],"itemData":{"id":422,"type":"article-journal","abstract":"Thymic carcinoma is a rare neoplasm with extremely poor prognosis. To evaluate the outcome of treatment in thymic carcinoma, we reviewed a 10-year (1982 to 1992) experience with 20 consecutive patients in Taichung Veterans General Hospital. There were 9 men and 11 women: ages ranged from 34 to 70 years old (mean 51.4 years). None of these patients had concomitant myasthenia gravis. All of the patients received surgical intervention, and the diagnosis was made by pathologic study. Postoperative staging was made according to the modified Masaoka staging system. None of our patients were in stage I. One patient (5%) had stage II disease, 12 (60%) stage III, and 7 (35%) stage IV. The pathologic subtypes of thymic carcinoma included eight squamous cell carcinomas, seven undifferentiated carcinomas, one lymphoepithelioma-like carcinoma, one clear-cell carcinoma, 1 mucoepidermoid carcinoma, and two carcinoid tumors. Curative resection could be done in seven patients (35%). The overall cumulative survival was 45.9% at 3 years and 34.4% at 5 years. The median survival times for patients with complete and incomplete resection were 39.0 months and 14.3 months, respectively (p = 0.1752). The median survival times of patients with postoperative radiotherapy and without postoperative radiotherapy were 39.3 months and 15.0 months, respectively (p = 0.0738). The median survival times of patients with squamous cell carcinoma and undifferentiated carcinoma were 25.4 months and 11.3 months, respectively (p = 0.1464). Our data show that complete resection, postoperative radiotherapy, and squamous cell carcinoma do not indicate a significantly favorable result, even though they result in longer median survival times. Yet a positive trend of favorable outcome in patients who received postoperative radiotherapy is ambiguously shown.","container-title":"The Journal of Thoracic and Cardiovascular Surgery","ISSN":"0022-5223","issue":"2","journalAbbreviation":"J Thorac Cardiovasc Surg","language":"eng","note":"PMID: 8302083","page":"615-620","source":"PubMed","title":"Thymic carcinoma. Ten years' experience in twenty patients","volume":"107","author":[{"family":"Hsu","given":"C. P."},{"family":"Chen","given":"C. Y."},{"family":"Chen","given":"C. L."},{"family":"Lin","given":"C. T."},{"family":"Hsu","given":"N. Y."},{"family":"Wang","given":"J. H."},{"family":"Wang","given":"P. Y."}],"issued":{"date-parts":[["1994",2]]}}},{"id":424,"uris":["http://zotero.org/users/10333225/items/BGDIZNL5"],"itemData":{"id":424,"type":"article-journal","abstract":"The clinicopathologic features of 60 patients with thymic carcinoma were studied. Patients ranged in age from 10 to 76 years (mean, 46), of whom 24 were females and 36 were males. Overall survival at 1, 3, and 5 years was 56.6%, 40%, and 33.3%, respectively. The following morphologic features were correlated with survival: type of tumor margins; presence or absence of a lobular growth pattern; nuclear atypia; necrosis; mitotic activity; and histologic tumor type and grade. Eighty eight percent of patients with poorly circumscribed/infiltrating neoplasms died of their tumors as compared with 16.6% of patients with well-circumscribed neoplasms (P less than 0.0000). Of patients whose tumors had mitotic counts exceeding 10/10 high-power fields (HPF), 84.3% died, as compared with 21.4% of patients with lower mitotic counts (P less than 0.0000). Of patients whose tumors showed lack of lobular growth pattern, 91.6% died, as compared with 29% of those whose tumors had a lobular growth pattern (P less than 0.0000). Finally, 84.6% of patients whose tumors displayed a high-grade histology (lymphoepithelioma-like carcinoma, small cell/neuroendocrine carcinoma, clear cell carcinoma, sarcomatid carcinoma, and anaplastic/undifferentiated carcinoma) died of tumor, as compared with 0% of patients whose tumors were of low-grade histology (well-differentiated squamous carcinoma, mucoepidermoid carcinoma, and basaloid carcinoma) (P less than 0.0000). Evaluation of the various treatment modalities used to treat these patients did not yield any statistically significant correlations with survival. Two clinically distinct groups of patients were identified: one after a relatively favorable clinical course with long survival, and one after a rapidly fatal outcome. The morphologic features of the tumors in these patients correlated well with their clinical behavior; histologic type (and the grade to which it was assigned) constituted the most reliable and important predictor of prognosis.","container-title":"Cancer","DOI":"10.1002/1097-0142(19910215)67:4&lt;1025::aid-cncr2820670427&gt;3.0.co;2-f","ISSN":"0008-543X","issue":"4","journalAbbreviation":"Cancer","language":"eng","note":"PMID: 1991250","page":"1025-1032","source":"PubMed","title":"Thymic carcinoma. A clinicopathologic study of 60 cases","volume":"67","author":[{"family":"Suster","given":"S."},{"family":"Rosai","given":"J."}],"issued":{"date-parts":[["1991",2,15]]}}},{"id":426,"uris":["http://zotero.org/users/10333225/items/L7YHWHXX"],"itemData":{"id":426,"type":"article-journal","abstract":"Within a 75-year period, 20 patients with primary nonteratomatous carcinomas of the thymus were seen at the Mayo Clinic. Fourteen were males and six were females, with a mean age of 48 years. Thirteen of the lesions were classified as poorly differentiated or spindling squamous cell carcinomas. One neoplasm was a sarcomatoid carcinoma, and two showed both squamous cell and neuroendocrine ultrastructural features. The remaining four tumors had both light- and electron-microscopic features of neuroendocrine carcinomas. In all 20 patients, careful clinical and pathologic examinations, including autopsy in fatal cases, excluded malignant lymphomas and metastasis to the thymus from epithelial tumors in other anatomic sites. Thirteen patients underwent surgery, with or without postoperative radiotherapy; of these, one was alive and apparently disease-free 43 months after diagnosis. There were two operative deaths. The remaining patients received primary radiotherapy or chemotherapy, or both. The mean survival of the 16 patients who died (excluding operative deaths) was 18.7 months for the 14 patients with tumors of squamous cell differentiation and 36.0 months for the two patients with pure neuroendocrine carcinomas. Among patients with squamous cell carcinoma, 11 developed metastases to lungs, liver, bones, adrenal glands, or extrathoracic lymph nodes; nine of these died of massive local growth within the mediastinum. Among patients with neuroendocrine carcinomas, two of four patients died of local growth within the mediastinum; one of these also had metastases to the liver and adrenal glands. One patient with oat cell carcinoma was alive with residual thoracic tumor and cervical lymph node metastasis 18 months after diagnosis.","container-title":"The American Journal of Surgical Pathology","DOI":"10.1097/00000478-198210000-00003","ISSN":"0147-5185","issue":"7","journalAbbreviation":"Am J Surg Pathol","language":"eng","note":"PMID: 6295194","page":"613-630","source":"PubMed","title":"Primary thymic carcinomas","volume":"6","author":[{"family":"Wick","given":"M. R."},{"family":"Scheithauer","given":"B. W."},{"family":"Weiland","given":"L. H."},{"family":"Bernatz","given":"P. E."}],"issued":{"date-parts":[["1982",10]]}}}],"schema":"https://github.com/citation-style-language/schema/raw/master/csl-citation.json"} </w:instrText>
      </w:r>
      <w:r w:rsidR="00CE4D53" w:rsidRPr="00B2088E">
        <w:rPr>
          <w:rFonts w:eastAsia="Times New Roman"/>
          <w:color w:val="000000" w:themeColor="text1"/>
          <w:sz w:val="24"/>
          <w:szCs w:val="24"/>
          <w:lang w:val="nl-NL"/>
        </w:rPr>
        <w:fldChar w:fldCharType="separate"/>
      </w:r>
      <w:r w:rsidR="009F6B11" w:rsidRPr="00B2088E">
        <w:rPr>
          <w:sz w:val="24"/>
          <w:szCs w:val="24"/>
          <w:vertAlign w:val="superscript"/>
        </w:rPr>
        <w:t>1–3</w:t>
      </w:r>
      <w:r w:rsidR="00CE4D53" w:rsidRPr="00B2088E">
        <w:rPr>
          <w:rFonts w:eastAsia="Times New Roman"/>
          <w:color w:val="000000" w:themeColor="text1"/>
          <w:sz w:val="24"/>
          <w:szCs w:val="24"/>
          <w:lang w:val="nl-NL"/>
        </w:rPr>
        <w:fldChar w:fldCharType="end"/>
      </w:r>
      <w:r w:rsidRPr="00B2088E">
        <w:rPr>
          <w:rFonts w:eastAsia="Times New Roman"/>
          <w:color w:val="000000" w:themeColor="text1"/>
          <w:sz w:val="24"/>
          <w:szCs w:val="24"/>
          <w:lang w:val="nl-NL"/>
        </w:rPr>
        <w:t xml:space="preserve"> Do tính chất này nên cho đến nay chỉ có một số lượng hạn chế bệnh nhân được phân tích trong các nghiên cứu đã công bố. Phẫu thuật cắt bỏ hoàn toàn khối u đem lại hiệu quả cao, cải thiện thời gian sống thêm, hóa xạ trị có vai trò bổ trợ sau phẫu thuật ở một số trường hợp hoặc khi bệnh tiến triển xâm lấn rộng không có khả </w:t>
      </w:r>
      <w:r w:rsidRPr="00B2088E">
        <w:rPr>
          <w:rFonts w:eastAsia="Times New Roman"/>
          <w:color w:val="000000" w:themeColor="text1"/>
          <w:sz w:val="24"/>
          <w:szCs w:val="24"/>
          <w:lang w:val="nl-NL"/>
        </w:rPr>
        <w:lastRenderedPageBreak/>
        <w:t>năng phẫu thuật. Tuy nhiên có khoảng 20-30% bệnh được phát hiện ở giai đoạn muộn, khối u lan tràn, di căn xa, không còn khả năng điều trị tại chỗ.</w:t>
      </w:r>
      <w:r w:rsidR="00CE4D53" w:rsidRPr="00B2088E">
        <w:rPr>
          <w:rFonts w:eastAsia="Times New Roman"/>
          <w:color w:val="000000" w:themeColor="text1"/>
          <w:sz w:val="24"/>
          <w:szCs w:val="24"/>
          <w:lang w:val="nl-NL"/>
        </w:rPr>
        <w:fldChar w:fldCharType="begin"/>
      </w:r>
      <w:r w:rsidR="00DD7208" w:rsidRPr="00B2088E">
        <w:rPr>
          <w:rFonts w:eastAsia="Times New Roman"/>
          <w:color w:val="000000" w:themeColor="text1"/>
          <w:sz w:val="24"/>
          <w:szCs w:val="24"/>
          <w:lang w:val="nl-NL"/>
        </w:rPr>
        <w:instrText xml:space="preserve"> ADDIN ZOTERO_ITEM CSL_CITATION {"citationID":"O030Eb92","properties":{"formattedCitation":"\\super 4\\nosupersub{}","plainCitation":"4","noteIndex":0},"citationItems":[{"id":428,"uris":["http://zotero.org/users/10333225/items/3ATNXBND"],"itemData":{"id":428,"type":"article-journal","abstract":"BACKGROUND: Thymic carcinoma is a malignancy of the anterior mediastinum, always with poor prognosis. Up to the present, very few articles have discussed and evaluated either the clinical or pathologic features or treatments of this tumor. Therefore, we are in a position to analyze our research data to support our belief as follows.\nMETHODS: From January 1977 until December 1997, we received 614 patients who were diagnosed with anterior mediastinal tumors. Of the 614 patients, 38 patients (6.2%) were diagnosed with thymic carcinoma, including 26 men and 12 women. Data were collected from clinical records and personal interviews with the patients. Classification of these patients' tumor stages was based on the Masaoka staging system.\nRESULTS: We proceeded with surgery for 15 of the 38 patients to remove their tumors. Complete resection was done in 8 of these 15 patients (21.0%), whereas debulking was done in the other 7 (18.4%) patients. The mean survival time of all the patients in this study (excluding 3 patients who were lost to follow-up) was 53.0 months, with a median of 24.1 months. The overall cumulative survival rate was 38.6% at 3 years and 27.5% at 5 years. The data in this research show that tumor grading (p = 0.01), resectability (p = 0.02), and stage (p = 0.04) have statistically significant influence on patients' survival.\nCONCLUSIONS: The grade, stage, and resectability of the tumor are decisive factors of the effectiveness of either surgery or chemo/radiotherapies in the treatment of thymic carcinoma.","container-title":"The Annals of Thoracic Surgery","DOI":"10.1016/s0003-4975(01)03607-4","ISSN":"0003-4975","issue":"4","journalAbbreviation":"Ann Thorac Surg","language":"eng","note":"PMID: 11996244","page":"1076-1081","source":"PubMed","title":"Primary thymic carcinoma","volume":"73","author":[{"family":"Liu","given":"Hung-Chang"},{"family":"Hsu","given":"Wen-Hu"},{"family":"Chen","given":"Yu-Jen"},{"family":"Chan","given":"Yu-Jan"},{"family":"Wu","given":"Yu-Chung"},{"family":"Huang","given":"Biing-Shium"},{"family":"Huang","given":"Min-Hsiung"}],"issued":{"date-parts":[["2002",4]]}}}],"schema":"https://github.com/citation-style-language/schema/raw/master/csl-citation.json"} </w:instrText>
      </w:r>
      <w:r w:rsidR="00CE4D53" w:rsidRPr="00B2088E">
        <w:rPr>
          <w:rFonts w:eastAsia="Times New Roman"/>
          <w:color w:val="000000" w:themeColor="text1"/>
          <w:sz w:val="24"/>
          <w:szCs w:val="24"/>
          <w:lang w:val="nl-NL"/>
        </w:rPr>
        <w:fldChar w:fldCharType="separate"/>
      </w:r>
      <w:r w:rsidR="00DD7208" w:rsidRPr="00B2088E">
        <w:rPr>
          <w:sz w:val="24"/>
          <w:szCs w:val="24"/>
          <w:vertAlign w:val="superscript"/>
        </w:rPr>
        <w:t>4</w:t>
      </w:r>
      <w:r w:rsidR="00CE4D53" w:rsidRPr="00B2088E">
        <w:rPr>
          <w:rFonts w:eastAsia="Times New Roman"/>
          <w:color w:val="000000" w:themeColor="text1"/>
          <w:sz w:val="24"/>
          <w:szCs w:val="24"/>
          <w:lang w:val="nl-NL"/>
        </w:rPr>
        <w:fldChar w:fldCharType="end"/>
      </w:r>
      <w:r w:rsidRPr="00B2088E">
        <w:rPr>
          <w:rFonts w:eastAsia="Times New Roman"/>
          <w:color w:val="000000" w:themeColor="text1"/>
          <w:sz w:val="24"/>
          <w:szCs w:val="24"/>
          <w:lang w:val="nl-NL"/>
        </w:rPr>
        <w:t xml:space="preserve"> Điều trị hóa chất đóng vai trò quan trọng trong giai đoạn này. Một số báo cáo đã chỉ ra hiệu quả của liệu pháp kết hợp dựa trên cisplatin, chẳng hạn như ADOC (cisplatin, doxorubicin, vincristine và cyclophosphamide) và CODE (cisplatin, vincristine, doxorubicin và etoposide) đối với tuyến ức.</w:t>
      </w:r>
      <w:r w:rsidR="00CE4D53" w:rsidRPr="00B2088E">
        <w:rPr>
          <w:rFonts w:eastAsia="Times New Roman"/>
          <w:color w:val="000000" w:themeColor="text1"/>
          <w:sz w:val="24"/>
          <w:szCs w:val="24"/>
          <w:lang w:val="nl-NL"/>
        </w:rPr>
        <w:fldChar w:fldCharType="begin"/>
      </w:r>
      <w:r w:rsidR="00DD7208" w:rsidRPr="00B2088E">
        <w:rPr>
          <w:rFonts w:eastAsia="Times New Roman"/>
          <w:color w:val="000000" w:themeColor="text1"/>
          <w:sz w:val="24"/>
          <w:szCs w:val="24"/>
          <w:lang w:val="nl-NL"/>
        </w:rPr>
        <w:instrText xml:space="preserve"> ADDIN ZOTERO_ITEM CSL_CITATION {"citationID":"PgFebVjV","properties":{"formattedCitation":"\\super 5,6\\nosupersub{}","plainCitation":"5,6","noteIndex":0},"citationItems":[{"id":430,"uris":["http://zotero.org/users/10333225/items/ZDRYQHCD"],"itemData":{"id":430,"type":"article-journal","abstract":"The role of systemic chemotherapy and optimal regimen in thymic carcinoma remains uncertain. We evaluated the clinical responsiveness of ADOC (cisplatin, doxorubicin, vincristine, and cyclophosphamide) chemotherapy for advanced thymic carcinoma that have distant metastatic or unresectable lesions. From 1996 to 2000, we treated eight cases of thymic carcinoma. According to the classification by Masaoka et al., the clinical stage in one case was IVa, whereas the others were IVb. Histologic subtypes were as follows: four cases were squamous cell carcinoma, two cases were undifferentiated, and two were small-cell carcinoma. All patients received 50 mg/m2 of cisplatin and 40 mg/m2 of doxorubicin intravenously on day 1, 0.6 mg/m2 of vincristine intravenously on day 3, and 700 mg/m2 of cyclophosphamide intravenously on day 4, ADOC regimen, respectively, at 3- to 4-week intervals. Six patients obtained a partial response after ADOC chemotherapy and the overall clinical response rate was 75%. There were no life-threatening side effects noted. Cisplatin plus VP-16 chemotherapy (PVP) was performed in three cases before the ADOC regimen, but PVP chemotherapy did not show beneficial effects in two patients. Median survival time was 19 months. ADOC chemotherapy appears to have significant activity against thymic carcinoma.","container-title":"American Journal of Clinical Oncology","DOI":"10.1097/00000421-200206000-00012","ISSN":"0277-3732","issue":"3","journalAbbreviation":"Am J Clin Oncol","language":"eng","note":"PMID: 12040285","page":"266-268","source":"PubMed","title":"Chemotherapy for advanced thymic carcinoma: clinical response to cisplatin, doxorubicin, vincristine, and cyclophosphamide (ADOC chemotherapy)","title-short":"Chemotherapy for advanced thymic carcinoma","volume":"25","author":[{"family":"Koizumi","given":"Thomonobu"},{"family":"Takabayashi","given":"Yasuki"},{"family":"Yamagishi","given":"Satoshi"},{"family":"Tsushima","given":"Kenji"},{"family":"Takamizawa","given":"Akemi"},{"family":"Tsukadaira","given":"Akihiro"},{"family":"Yamamoto","given":"Hiroshi"},{"family":"Yamazaki","given":"Yoshitaka"},{"family":"Yamaguchi","given":"Shinji"},{"family":"Fujimoto","given":"Keisaku"},{"family":"Kubo","given":"Keishi"},{"family":"Hirose","given":"Yoshiki"},{"family":"Hirayama","given":"Jirou"},{"family":"Saegusa","given":"Hisanori"}],"issued":{"date-parts":[["2002",6]]}}},{"id":432,"uris":["http://zotero.org/users/10333225/items/57E2QSBC"],"itemData":{"id":432,"type":"article-journal","abstract":"BACKGROUND: Thymic carcinoma is a rare neoplasm that often disseminates or metastasizes. The role of chemotherapy in treating this malignancy is unclear. The purpose of the current study was to determine the efficacy and tolerability of a weekly chemotherapy regimen consisting of cisplatin, vincristine, doxorubicin, and etoposide (CODE) for the treatment of advanced thymic carcinoma.\nMETHODS: The authors retrospectively reviewed 18 patients with thymic carcinoma who were treated between 1996 and 2002. Twelve of these patients had unresectable advanced diseases and received weekly chemotherapy according to the CODE regimen. The CODE regimen consisted of cisplatin (25 mg/m(2), intravenously [i.v.]; weekly administration), vincristine (1 mg/m(2), i.v.; administered during Weeks 1, 2, 4, 6, and 8), doxorubicin (40 mg/m(2), i.v.; administered during Weeks 1, 3, 5, 7, and 9), and etoposide (80 mg/m(2), i.v.; administered for 3 days during Weeks 1, 3, 5, 7, and 9).\nRESULTS: The responses of all 12 patients to the CODE regimen were assessed. A partial response was achieved in 5 patients, and the overall response rate was 42%. Only one patient experienced disease progression. The median progression-free survival period was 5.6 months (range, 2-39 months). The overall survival period ranged from 6 to 79 months, with a median survival period of 46 months. Based on the Kaplan-Meier method, the estimated 1-year and 2-year survival rates were 80% and 58%, respectively. The most common side effects were hematologic toxicities, and only mild nonhematologic toxicities were experienced.\nCONCLUSIONS: Weekly chemotherapy treatments according to the CODE regimen were effective and tolerated by patients with advanced thymic carcinoma.","container-title":"Cancer","DOI":"10.1002/cncr.11606","ISSN":"0008-543X","issue":"5","journalAbbreviation":"Cancer","language":"eng","note":"PMID: 12942558","page":"926-931","source":"PubMed","title":"Weekly chemotherapy with cisplatin, vincristine, doxorubicin, and etoposide is an effective treatment for advanced thymic carcinoma","volume":"98","author":[{"family":"Yoh","given":"Kiyotaka"},{"family":"Goto","given":"Koichi"},{"family":"Ishii","given":"Gen-ichiro"},{"family":"Niho","given":"Seiji"},{"family":"Ohmatsu","given":"Hironobu"},{"family":"Kubota","given":"Kaoru"},{"family":"Kakinuma","given":"Ryutaro"},{"family":"Nagai","given":"Kanji"},{"family":"Suga","given":"Moritaka"},{"family":"Nishiwaki","given":"Yutaka"}],"issued":{"date-parts":[["2003",9,1]]}}}],"schema":"https://github.com/citation-style-language/schema/raw/master/csl-citation.json"} </w:instrText>
      </w:r>
      <w:r w:rsidR="00CE4D53" w:rsidRPr="00B2088E">
        <w:rPr>
          <w:rFonts w:eastAsia="Times New Roman"/>
          <w:color w:val="000000" w:themeColor="text1"/>
          <w:sz w:val="24"/>
          <w:szCs w:val="24"/>
          <w:lang w:val="nl-NL"/>
        </w:rPr>
        <w:fldChar w:fldCharType="separate"/>
      </w:r>
      <w:r w:rsidR="00DD7208" w:rsidRPr="00B2088E">
        <w:rPr>
          <w:sz w:val="24"/>
          <w:szCs w:val="24"/>
          <w:vertAlign w:val="superscript"/>
        </w:rPr>
        <w:t>5,6</w:t>
      </w:r>
      <w:r w:rsidR="00CE4D53" w:rsidRPr="00B2088E">
        <w:rPr>
          <w:rFonts w:eastAsia="Times New Roman"/>
          <w:color w:val="000000" w:themeColor="text1"/>
          <w:sz w:val="24"/>
          <w:szCs w:val="24"/>
          <w:lang w:val="nl-NL"/>
        </w:rPr>
        <w:fldChar w:fldCharType="end"/>
      </w:r>
      <w:r w:rsidRPr="00B2088E">
        <w:rPr>
          <w:rFonts w:eastAsia="Times New Roman"/>
          <w:color w:val="000000" w:themeColor="text1"/>
          <w:sz w:val="24"/>
          <w:szCs w:val="24"/>
          <w:lang w:val="nl-NL"/>
        </w:rPr>
        <w:t xml:space="preserve"> </w:t>
      </w:r>
      <w:r w:rsidR="006C2C24" w:rsidRPr="00B2088E">
        <w:rPr>
          <w:rFonts w:eastAsia="Times New Roman"/>
          <w:color w:val="000000" w:themeColor="text1"/>
          <w:sz w:val="24"/>
          <w:szCs w:val="24"/>
          <w:lang w:val="nl-NL"/>
        </w:rPr>
        <w:t>Mặc dù tỉ lệ đáp ứng khá cao, t</w:t>
      </w:r>
      <w:r w:rsidRPr="00B2088E">
        <w:rPr>
          <w:rFonts w:eastAsia="Times New Roman"/>
          <w:color w:val="000000" w:themeColor="text1"/>
          <w:sz w:val="24"/>
          <w:szCs w:val="24"/>
          <w:lang w:val="nl-NL"/>
        </w:rPr>
        <w:t xml:space="preserve">uy nhiên, </w:t>
      </w:r>
      <w:r w:rsidR="006C2C24" w:rsidRPr="00B2088E">
        <w:rPr>
          <w:rFonts w:eastAsia="Times New Roman"/>
          <w:color w:val="000000" w:themeColor="text1"/>
          <w:sz w:val="24"/>
          <w:szCs w:val="24"/>
          <w:lang w:val="nl-NL"/>
        </w:rPr>
        <w:t xml:space="preserve">phần lớn bệnh nhân trong nghiên cứu là u tuyến ức ác tính (thymoma), tỉ lệ ung thư biểu mô tuyến ức thấp, đồng thời, </w:t>
      </w:r>
      <w:r w:rsidRPr="00B2088E">
        <w:rPr>
          <w:rFonts w:eastAsia="Times New Roman"/>
          <w:color w:val="000000" w:themeColor="text1"/>
          <w:sz w:val="24"/>
          <w:szCs w:val="24"/>
          <w:lang w:val="nl-NL"/>
        </w:rPr>
        <w:t>tỷ lệ cao các độc tính nghiêm trọng đã được quan sát thấy với các phác đồ đã đề cập ở trên. Mặt khác, một số tác nhân chống ung thư, bao gồm irinotecan, paclitaxel, docetaxel, gemcitabine và vinorelbine đã được phát triển vào những năm 1990, khác biệt về cơ chế hoạt động so với các tác nhân thế hệ cũ như vindesine, vinblastine và etoposide. Do đó, các phác đồ kết hợp platinum với tác nhân này đã được đưa ra như phác đồ chung điều trị các khối u đặc có nguồn gốc biểu mô, trong đó có ung thư biểu mô tuyến ức. Trong một thử nghiệm pha II theo dõi tại 21 trung tâm ung thư tại Nhật Bản từ năm 2008 đến năm 2011 ghi nhận các bệnh nhân ung thư biểu hiện mô tuyến ức giai đoạn IV được điều trị bằng phác đồ paclitaxel – carboplatin, cho tỷ lệ đáp ứng toàn bộ là 36%, trung vị thời gian sống thêm không bệnh tiến triển là 7,5 tháng.</w:t>
      </w:r>
      <w:r w:rsidR="00CE4D53" w:rsidRPr="00B2088E">
        <w:rPr>
          <w:rFonts w:eastAsia="Times New Roman"/>
          <w:color w:val="000000" w:themeColor="text1"/>
          <w:sz w:val="24"/>
          <w:szCs w:val="24"/>
          <w:lang w:val="nl-NL"/>
        </w:rPr>
        <w:fldChar w:fldCharType="begin"/>
      </w:r>
      <w:r w:rsidR="00527566" w:rsidRPr="00B2088E">
        <w:rPr>
          <w:rFonts w:eastAsia="Times New Roman"/>
          <w:color w:val="000000" w:themeColor="text1"/>
          <w:sz w:val="24"/>
          <w:szCs w:val="24"/>
          <w:lang w:val="nl-NL"/>
        </w:rPr>
        <w:instrText xml:space="preserve"> ADDIN ZOTERO_ITEM CSL_CITATION {"citationID":"M98uojwj","properties":{"formattedCitation":"\\super 7\\nosupersub{}","plainCitation":"7","noteIndex":0},"citationItems":[{"id":434,"uris":["http://zotero.org/users/10333225/items/MY4ETKYD"],"itemData":{"id":434,"type":"article-journal","abstract":"BACKGROUND: Thymic carcinoma (TC) is an exceptionally rare tumor, which has a very poor prognosis differing from thymoma. Till date, there has been no report of any results of clinical trials focusing on TC. The role of non-anthracycline-based chemotherapy has not been elucidated since the previous studies included a relatively small number of TC patients. This single-arm study evaluated carboplatin and paclitaxel (CbP) in chemotherapy-naive patients with advanced TC.\nPATIENTS AND METHODS: The study treatment consisted of carboplatin (area under the curve 6) and paclitaxel (200 mg/m(2)) every 3 weeks for a maximum of six cycles. The primary end point was objective response rate (ORR) by independent review. The secondary end points included overall survival (OS), progression-free survival (PFS), and safety. Based on the SWOG 2-stage design, the planned sample size of 40 patients was determined to reject the ORR of 20% under the expectation of 40% with a power of 0.85 and a type I error of 0.05.\nRESULTS: Forty patients from 21 centers were enrolled for this study from May 2008 to November 2010. Of the 39 patients evaluable for analysis, 36 were pathologically diagnosed by independent review, and 97% patients were eventually TC. There was 1/13 complete/partial responses with an ORR of 36% (95% confidence interval 21%-53%; P = 0.031). The median PFS was 7.5 (6.2-12.3) months, while OS did not reach the median value. Major adverse event was grade 3-4 neutropenia in 34 patients (87%). There was no treatment-related death.\nCONCLUSIONS: In this largest trial with TC, CbP showed promising efficacy in advanced TC when compared with anthracycline-based chemotherapy, which is the current standard treatment of thymic neoplasm. Our results established that CbP, one of the standard treatments for non-small-cell lung cancer, might be an option as a chemotherapy regimen for TC.","container-title":"Annals of Oncology: Official Journal of the European Society for Medical Oncology","DOI":"10.1093/annonc/mdu541","ISSN":"1569-8041","issue":"2","journalAbbreviation":"Ann Oncol","language":"eng","note":"PMID: 25403584","page":"363-368","source":"PubMed","title":"A multicenter phase II study of carboplatin and paclitaxel for advanced thymic carcinoma: WJOG4207L","title-short":"A multicenter phase II study of carboplatin and paclitaxel for advanced thymic carcinoma","volume":"26","author":[{"family":"Hirai","given":"F."},{"family":"Yamanaka","given":"T."},{"family":"Taguchi","given":"K."},{"family":"Daga","given":"H."},{"family":"Ono","given":"A."},{"family":"Tanaka","given":"K."},{"family":"Kogure","given":"Y."},{"family":"Shimizu","given":"J."},{"family":"Kimura","given":"T."},{"family":"Fukuoka","given":"J."},{"family":"Iwamoto","given":"Y."},{"family":"Sasaki","given":"H."},{"family":"Takeda","given":"K."},{"family":"Seto","given":"T."},{"family":"Ichinose","given":"Y."},{"family":"Nakagawa","given":"K."},{"family":"Nakanishi","given":"Y."},{"literal":"West Japan Oncology Group"}],"issued":{"date-parts":[["2015",2]]}}}],"schema":"https://github.com/citation-style-language/schema/raw/master/csl-citation.json"} </w:instrText>
      </w:r>
      <w:r w:rsidR="00CE4D53" w:rsidRPr="00B2088E">
        <w:rPr>
          <w:rFonts w:eastAsia="Times New Roman"/>
          <w:color w:val="000000" w:themeColor="text1"/>
          <w:sz w:val="24"/>
          <w:szCs w:val="24"/>
          <w:lang w:val="nl-NL"/>
        </w:rPr>
        <w:fldChar w:fldCharType="separate"/>
      </w:r>
      <w:r w:rsidR="00527566" w:rsidRPr="00B2088E">
        <w:rPr>
          <w:sz w:val="24"/>
          <w:szCs w:val="24"/>
          <w:vertAlign w:val="superscript"/>
        </w:rPr>
        <w:t>7</w:t>
      </w:r>
      <w:r w:rsidR="00CE4D53" w:rsidRPr="00B2088E">
        <w:rPr>
          <w:rFonts w:eastAsia="Times New Roman"/>
          <w:color w:val="000000" w:themeColor="text1"/>
          <w:sz w:val="24"/>
          <w:szCs w:val="24"/>
          <w:lang w:val="nl-NL"/>
        </w:rPr>
        <w:fldChar w:fldCharType="end"/>
      </w:r>
      <w:r w:rsidRPr="00B2088E">
        <w:rPr>
          <w:rFonts w:eastAsia="Times New Roman"/>
          <w:color w:val="000000" w:themeColor="text1"/>
          <w:sz w:val="24"/>
          <w:szCs w:val="24"/>
          <w:lang w:val="nl-NL"/>
        </w:rPr>
        <w:t xml:space="preserve"> Một nghiên cứu khác về các bệnh nhân tại Trung Quốc công bố năm 2014 cho trung vị thời gian sống thêm không bệnh tiến triển và sống thêm toàn bộ thời gian như 3,5 tháng và 24 tháng.</w:t>
      </w:r>
      <w:r w:rsidR="00CE4D53" w:rsidRPr="00B2088E">
        <w:rPr>
          <w:rFonts w:eastAsia="Times New Roman"/>
          <w:color w:val="000000" w:themeColor="text1"/>
          <w:sz w:val="24"/>
          <w:szCs w:val="24"/>
          <w:lang w:val="nl-NL"/>
        </w:rPr>
        <w:fldChar w:fldCharType="begin"/>
      </w:r>
      <w:r w:rsidR="00527566" w:rsidRPr="00B2088E">
        <w:rPr>
          <w:rFonts w:eastAsia="Times New Roman"/>
          <w:color w:val="000000" w:themeColor="text1"/>
          <w:sz w:val="24"/>
          <w:szCs w:val="24"/>
          <w:lang w:val="nl-NL"/>
        </w:rPr>
        <w:instrText xml:space="preserve"> ADDIN ZOTERO_ITEM CSL_CITATION {"citationID":"wKfkWFvX","properties":{"formattedCitation":"\\super 8\\nosupersub{}","plainCitation":"8","noteIndex":0},"citationItems":[{"id":436,"uris":["http://zotero.org/users/10333225/items/864YZ4A9"],"itemData":{"id":436,"type":"article-journal","abstract":"Chemotherapy with paclitaxel plus carboplatin for relapsed advanced thymic carcinoma","container-title":"Journal of Thoracic Disease","DOI":"10.3978/j.issn.2072-1439.2014.11.18","ISSN":"2077-6624, 2072-1439","issue":"12","language":"en","note":"publisher: AME Publishing Company","source":"jtd.amegroups.org","title":"Chemotherapy with paclitaxel plus carboplatin for relapsed advanced thymic carcinoma","URL":"https://jtd.amegroups.org/article/view/3619","volume":"6","author":[{"family":"Song","given":"Zhengbo"}],"accessed":{"date-parts":[["2024",7,28]]},"issued":{"date-parts":[["2014",12]]}}}],"schema":"https://github.com/citation-style-language/schema/raw/master/csl-citation.json"} </w:instrText>
      </w:r>
      <w:r w:rsidR="00CE4D53" w:rsidRPr="00B2088E">
        <w:rPr>
          <w:rFonts w:eastAsia="Times New Roman"/>
          <w:color w:val="000000" w:themeColor="text1"/>
          <w:sz w:val="24"/>
          <w:szCs w:val="24"/>
          <w:lang w:val="nl-NL"/>
        </w:rPr>
        <w:fldChar w:fldCharType="separate"/>
      </w:r>
      <w:r w:rsidR="00527566" w:rsidRPr="00B2088E">
        <w:rPr>
          <w:sz w:val="24"/>
          <w:szCs w:val="24"/>
          <w:vertAlign w:val="superscript"/>
        </w:rPr>
        <w:t>8</w:t>
      </w:r>
      <w:r w:rsidR="00CE4D53" w:rsidRPr="00B2088E">
        <w:rPr>
          <w:rFonts w:eastAsia="Times New Roman"/>
          <w:color w:val="000000" w:themeColor="text1"/>
          <w:sz w:val="24"/>
          <w:szCs w:val="24"/>
          <w:lang w:val="nl-NL"/>
        </w:rPr>
        <w:fldChar w:fldCharType="end"/>
      </w:r>
    </w:p>
    <w:p w:rsidR="0001299C" w:rsidRPr="00B2088E" w:rsidRDefault="005F1DD7" w:rsidP="00332E35">
      <w:pPr>
        <w:spacing w:after="0" w:line="240" w:lineRule="auto"/>
        <w:jc w:val="both"/>
        <w:outlineLvl w:val="0"/>
        <w:rPr>
          <w:rFonts w:eastAsia="Times New Roman"/>
          <w:color w:val="000000" w:themeColor="text1"/>
          <w:sz w:val="24"/>
          <w:szCs w:val="24"/>
          <w:lang w:val="nl-NL"/>
        </w:rPr>
      </w:pPr>
      <w:r w:rsidRPr="00B2088E">
        <w:rPr>
          <w:rFonts w:eastAsia="Times New Roman"/>
          <w:b/>
          <w:bCs/>
          <w:sz w:val="24"/>
          <w:szCs w:val="24"/>
        </w:rPr>
        <w:t xml:space="preserve">       </w:t>
      </w:r>
      <w:r w:rsidRPr="00B2088E">
        <w:rPr>
          <w:rFonts w:eastAsia="Times New Roman"/>
          <w:color w:val="000000" w:themeColor="text1"/>
          <w:sz w:val="24"/>
          <w:szCs w:val="24"/>
          <w:lang w:val="nl-NL"/>
        </w:rPr>
        <w:t xml:space="preserve">Tại Việt Nam, hiện nay chưa có công trình nghiên cứu nào đánh giá về điều trị ung thư biểu mô tuyến </w:t>
      </w:r>
      <w:r w:rsidR="00DA0304" w:rsidRPr="00B2088E">
        <w:rPr>
          <w:rFonts w:eastAsia="Times New Roman"/>
          <w:color w:val="000000" w:themeColor="text1"/>
          <w:sz w:val="24"/>
          <w:szCs w:val="24"/>
          <w:lang w:val="nl-NL"/>
        </w:rPr>
        <w:t>ức</w:t>
      </w:r>
      <w:r w:rsidRPr="00B2088E">
        <w:rPr>
          <w:rFonts w:eastAsia="Times New Roman"/>
          <w:color w:val="000000" w:themeColor="text1"/>
          <w:sz w:val="24"/>
          <w:szCs w:val="24"/>
          <w:lang w:val="nl-NL"/>
        </w:rPr>
        <w:t xml:space="preserve"> giai đoạ</w:t>
      </w:r>
      <w:r w:rsidR="00DA0304" w:rsidRPr="00B2088E">
        <w:rPr>
          <w:rFonts w:eastAsia="Times New Roman"/>
          <w:color w:val="000000" w:themeColor="text1"/>
          <w:sz w:val="24"/>
          <w:szCs w:val="24"/>
          <w:lang w:val="nl-NL"/>
        </w:rPr>
        <w:t>n</w:t>
      </w:r>
      <w:r w:rsidRPr="00B2088E">
        <w:rPr>
          <w:rFonts w:eastAsia="Times New Roman"/>
          <w:color w:val="000000" w:themeColor="text1"/>
          <w:sz w:val="24"/>
          <w:szCs w:val="24"/>
          <w:lang w:val="nl-NL"/>
        </w:rPr>
        <w:t xml:space="preserve"> di căn. Vì vậy, chúng tôi tiến hành đề tài nghiên cứu này nhắm mục tiêu</w:t>
      </w:r>
      <w:r w:rsidR="00332E35" w:rsidRPr="00B2088E">
        <w:rPr>
          <w:rFonts w:eastAsia="Times New Roman"/>
          <w:color w:val="000000" w:themeColor="text1"/>
          <w:sz w:val="24"/>
          <w:szCs w:val="24"/>
          <w:lang w:val="nl-NL"/>
        </w:rPr>
        <w:t xml:space="preserve">: </w:t>
      </w:r>
    </w:p>
    <w:p w:rsidR="00332E35" w:rsidRPr="00B2088E" w:rsidRDefault="0005781C" w:rsidP="00332E35">
      <w:pPr>
        <w:pStyle w:val="ListParagraph"/>
        <w:numPr>
          <w:ilvl w:val="0"/>
          <w:numId w:val="6"/>
        </w:numPr>
        <w:spacing w:after="0" w:line="240" w:lineRule="auto"/>
        <w:jc w:val="both"/>
        <w:rPr>
          <w:rFonts w:eastAsia="Times New Roman"/>
          <w:i/>
          <w:color w:val="000000" w:themeColor="text1"/>
          <w:sz w:val="24"/>
          <w:szCs w:val="24"/>
          <w:lang w:val="nl-NL"/>
        </w:rPr>
      </w:pPr>
      <w:r>
        <w:rPr>
          <w:rFonts w:eastAsia="Times New Roman"/>
          <w:i/>
          <w:color w:val="000000" w:themeColor="text1"/>
          <w:sz w:val="24"/>
          <w:szCs w:val="24"/>
          <w:lang w:val="nl-NL"/>
        </w:rPr>
        <w:t>Đánh giá đặc điểm lâm sàng, cận lâm sàng bệnh nhân ung thư biểu mô tuyến ức</w:t>
      </w:r>
      <w:r w:rsidR="00332E35" w:rsidRPr="00B2088E">
        <w:rPr>
          <w:rFonts w:eastAsia="Times New Roman"/>
          <w:i/>
          <w:color w:val="000000" w:themeColor="text1"/>
          <w:sz w:val="24"/>
          <w:szCs w:val="24"/>
        </w:rPr>
        <w:t xml:space="preserve"> di căn </w:t>
      </w:r>
      <w:r>
        <w:rPr>
          <w:rFonts w:eastAsia="Times New Roman"/>
          <w:i/>
          <w:color w:val="000000" w:themeColor="text1"/>
          <w:sz w:val="24"/>
          <w:szCs w:val="24"/>
        </w:rPr>
        <w:t xml:space="preserve">điều trị Paclitaxel- Carboplatin </w:t>
      </w:r>
      <w:r w:rsidR="00332E35" w:rsidRPr="00B2088E">
        <w:rPr>
          <w:rFonts w:eastAsia="Times New Roman"/>
          <w:i/>
          <w:color w:val="000000" w:themeColor="text1"/>
          <w:sz w:val="24"/>
          <w:szCs w:val="24"/>
        </w:rPr>
        <w:t>tại Bệnh viện K.</w:t>
      </w:r>
    </w:p>
    <w:p w:rsidR="00332E35" w:rsidRPr="00B2088E" w:rsidRDefault="0005781C" w:rsidP="00332E35">
      <w:pPr>
        <w:pStyle w:val="ListParagraph"/>
        <w:numPr>
          <w:ilvl w:val="0"/>
          <w:numId w:val="6"/>
        </w:numPr>
        <w:spacing w:after="0" w:line="240" w:lineRule="auto"/>
        <w:jc w:val="both"/>
        <w:rPr>
          <w:rFonts w:eastAsia="Times New Roman"/>
          <w:bCs/>
          <w:i/>
          <w:sz w:val="24"/>
          <w:szCs w:val="24"/>
          <w:lang w:val="vi-VN"/>
        </w:rPr>
      </w:pPr>
      <w:r>
        <w:rPr>
          <w:rFonts w:eastAsia="Times New Roman"/>
          <w:i/>
          <w:color w:val="000000" w:themeColor="text1"/>
          <w:sz w:val="24"/>
          <w:szCs w:val="24"/>
          <w:lang w:val="nl-NL"/>
        </w:rPr>
        <w:t>Kết quả điều trị trên nhóm bệnh nhân nghiên cứu.</w:t>
      </w:r>
    </w:p>
    <w:p w:rsidR="00332E35" w:rsidRPr="0066275E" w:rsidRDefault="00332E35" w:rsidP="0066275E">
      <w:pPr>
        <w:pStyle w:val="ListParagraph"/>
        <w:numPr>
          <w:ilvl w:val="0"/>
          <w:numId w:val="21"/>
        </w:numPr>
        <w:spacing w:after="0" w:line="240" w:lineRule="auto"/>
        <w:jc w:val="both"/>
        <w:rPr>
          <w:rFonts w:eastAsia="Times New Roman"/>
          <w:b/>
          <w:iCs/>
          <w:sz w:val="24"/>
          <w:szCs w:val="24"/>
        </w:rPr>
      </w:pPr>
      <w:r w:rsidRPr="0066275E">
        <w:rPr>
          <w:rFonts w:eastAsia="Times New Roman"/>
          <w:b/>
          <w:iCs/>
          <w:sz w:val="24"/>
          <w:szCs w:val="24"/>
        </w:rPr>
        <w:t>ĐÔI TƯỢNG VÀ PHƯƠNG PHÁP NGHIÊN CỨU</w:t>
      </w:r>
    </w:p>
    <w:p w:rsidR="00332E35" w:rsidRPr="00B2088E" w:rsidRDefault="003652AA" w:rsidP="003652AA">
      <w:pPr>
        <w:pStyle w:val="ListParagraph"/>
        <w:numPr>
          <w:ilvl w:val="1"/>
          <w:numId w:val="13"/>
        </w:numPr>
        <w:spacing w:after="0" w:line="240" w:lineRule="auto"/>
        <w:ind w:right="34"/>
        <w:jc w:val="both"/>
        <w:outlineLvl w:val="0"/>
        <w:rPr>
          <w:rFonts w:eastAsia="Times New Roman"/>
          <w:b/>
          <w:bCs/>
          <w:iCs/>
          <w:sz w:val="24"/>
          <w:szCs w:val="24"/>
        </w:rPr>
      </w:pPr>
      <w:r w:rsidRPr="00B2088E">
        <w:rPr>
          <w:rFonts w:eastAsia="Times New Roman"/>
          <w:b/>
          <w:bCs/>
          <w:iCs/>
          <w:sz w:val="24"/>
          <w:szCs w:val="24"/>
        </w:rPr>
        <w:t xml:space="preserve"> </w:t>
      </w:r>
      <w:r w:rsidR="00332E35" w:rsidRPr="00B2088E">
        <w:rPr>
          <w:rFonts w:eastAsia="Times New Roman"/>
          <w:b/>
          <w:bCs/>
          <w:iCs/>
          <w:sz w:val="24"/>
          <w:szCs w:val="24"/>
        </w:rPr>
        <w:t xml:space="preserve">Đối tương nghiên cứu: </w:t>
      </w:r>
    </w:p>
    <w:p w:rsidR="00332E35" w:rsidRPr="00B2088E" w:rsidRDefault="00332E35" w:rsidP="00332E35">
      <w:pPr>
        <w:pStyle w:val="ListParagraph"/>
        <w:spacing w:after="0" w:line="240" w:lineRule="auto"/>
        <w:ind w:right="34"/>
        <w:jc w:val="both"/>
        <w:outlineLvl w:val="0"/>
        <w:rPr>
          <w:rFonts w:eastAsia="Times New Roman"/>
          <w:iCs/>
          <w:sz w:val="24"/>
          <w:szCs w:val="24"/>
        </w:rPr>
      </w:pPr>
      <w:r w:rsidRPr="00B2088E">
        <w:rPr>
          <w:rFonts w:eastAsia="Times New Roman"/>
          <w:iCs/>
          <w:sz w:val="24"/>
          <w:szCs w:val="24"/>
        </w:rPr>
        <w:t xml:space="preserve">20 bệnh nhân Ung thư biểu mô tuyến ức </w:t>
      </w:r>
      <w:r w:rsidR="001C0B84">
        <w:rPr>
          <w:rFonts w:eastAsia="Times New Roman"/>
          <w:iCs/>
          <w:sz w:val="24"/>
          <w:szCs w:val="24"/>
        </w:rPr>
        <w:t>di căn</w:t>
      </w:r>
      <w:r w:rsidRPr="00B2088E">
        <w:rPr>
          <w:rFonts w:eastAsia="Times New Roman"/>
          <w:iCs/>
          <w:sz w:val="24"/>
          <w:szCs w:val="24"/>
        </w:rPr>
        <w:t xml:space="preserve"> điều trị hóa chất Paclitaxel- Carboplatin tại Bệnh viện K từ năm 2020-2024.</w:t>
      </w:r>
    </w:p>
    <w:p w:rsidR="00332E35" w:rsidRPr="00B2088E" w:rsidRDefault="00332E35" w:rsidP="00332E35">
      <w:pPr>
        <w:spacing w:after="0" w:line="240" w:lineRule="auto"/>
        <w:ind w:right="34"/>
        <w:jc w:val="both"/>
        <w:outlineLvl w:val="0"/>
        <w:rPr>
          <w:rFonts w:eastAsia="Times New Roman"/>
          <w:bCs/>
          <w:color w:val="000000"/>
          <w:sz w:val="24"/>
          <w:szCs w:val="24"/>
          <w:lang w:val="vi-VN"/>
        </w:rPr>
      </w:pPr>
      <w:r w:rsidRPr="00B2088E">
        <w:rPr>
          <w:rFonts w:eastAsia="Times New Roman"/>
          <w:b/>
          <w:bCs/>
          <w:i/>
          <w:color w:val="000000"/>
          <w:sz w:val="24"/>
          <w:szCs w:val="24"/>
        </w:rPr>
        <w:t xml:space="preserve">     </w:t>
      </w:r>
      <w:r w:rsidRPr="00B2088E">
        <w:rPr>
          <w:rFonts w:eastAsia="Times New Roman"/>
          <w:b/>
          <w:bCs/>
          <w:i/>
          <w:color w:val="000000"/>
          <w:sz w:val="24"/>
          <w:szCs w:val="24"/>
          <w:lang w:val="vi-VN"/>
        </w:rPr>
        <w:t>Tiêu chuẩn lựa chọn bệnh nhân</w:t>
      </w:r>
      <w:r w:rsidRPr="00B2088E">
        <w:rPr>
          <w:rFonts w:eastAsia="Times New Roman"/>
          <w:bCs/>
          <w:color w:val="000000"/>
          <w:sz w:val="24"/>
          <w:szCs w:val="24"/>
          <w:lang w:val="vi-VN"/>
        </w:rPr>
        <w:t>:</w:t>
      </w:r>
    </w:p>
    <w:p w:rsidR="00332E35" w:rsidRPr="00B2088E" w:rsidRDefault="00F5678A" w:rsidP="00332E35">
      <w:pPr>
        <w:pStyle w:val="ListParagraph"/>
        <w:numPr>
          <w:ilvl w:val="0"/>
          <w:numId w:val="8"/>
        </w:numPr>
        <w:tabs>
          <w:tab w:val="left" w:pos="567"/>
        </w:tabs>
        <w:spacing w:after="0" w:line="240" w:lineRule="auto"/>
        <w:ind w:right="34"/>
        <w:jc w:val="both"/>
        <w:rPr>
          <w:rFonts w:eastAsia="Times New Roman"/>
          <w:color w:val="000000"/>
          <w:sz w:val="24"/>
          <w:szCs w:val="24"/>
          <w:lang w:val="en-AU"/>
        </w:rPr>
      </w:pPr>
      <w:r w:rsidRPr="00B2088E">
        <w:rPr>
          <w:rFonts w:eastAsia="Times New Roman"/>
          <w:sz w:val="24"/>
          <w:szCs w:val="24"/>
        </w:rPr>
        <w:t xml:space="preserve">   </w:t>
      </w:r>
      <w:r w:rsidR="00332E35" w:rsidRPr="00B2088E">
        <w:rPr>
          <w:rFonts w:eastAsia="Times New Roman"/>
          <w:sz w:val="24"/>
          <w:szCs w:val="24"/>
        </w:rPr>
        <w:t xml:space="preserve">Chẩn đoán xác định ung thư biểu mô tuyến ức, khẳng định bằng mô bệnh học theo phân loại của WHO năm 2015. </w:t>
      </w:r>
    </w:p>
    <w:p w:rsidR="00332E35" w:rsidRPr="00B2088E" w:rsidRDefault="00DA535B" w:rsidP="00332E35">
      <w:pPr>
        <w:pStyle w:val="ListParagraph"/>
        <w:numPr>
          <w:ilvl w:val="0"/>
          <w:numId w:val="8"/>
        </w:numPr>
        <w:tabs>
          <w:tab w:val="left" w:pos="567"/>
        </w:tabs>
        <w:spacing w:after="0" w:line="240" w:lineRule="auto"/>
        <w:ind w:right="34"/>
        <w:jc w:val="both"/>
        <w:rPr>
          <w:rFonts w:eastAsia="Times New Roman"/>
          <w:color w:val="000000"/>
          <w:sz w:val="24"/>
          <w:szCs w:val="24"/>
          <w:lang w:val="en-AU"/>
        </w:rPr>
      </w:pPr>
      <w:r w:rsidRPr="00B2088E">
        <w:rPr>
          <w:rFonts w:eastAsia="Times New Roman"/>
          <w:sz w:val="24"/>
          <w:szCs w:val="24"/>
        </w:rPr>
        <w:t xml:space="preserve">  </w:t>
      </w:r>
      <w:r w:rsidR="00332E35" w:rsidRPr="00B2088E">
        <w:rPr>
          <w:rFonts w:eastAsia="Times New Roman"/>
          <w:sz w:val="24"/>
          <w:szCs w:val="24"/>
        </w:rPr>
        <w:t xml:space="preserve">Giại đoạn IV theo phân loại </w:t>
      </w:r>
      <w:r w:rsidR="00462FA8" w:rsidRPr="00B2088E">
        <w:rPr>
          <w:rFonts w:eastAsia="Times New Roman"/>
          <w:sz w:val="24"/>
          <w:szCs w:val="24"/>
        </w:rPr>
        <w:t>theo AJCC 8</w:t>
      </w:r>
      <w:r w:rsidR="00462FA8" w:rsidRPr="00B2088E">
        <w:rPr>
          <w:rFonts w:eastAsia="Times New Roman"/>
          <w:sz w:val="24"/>
          <w:szCs w:val="24"/>
          <w:vertAlign w:val="superscript"/>
        </w:rPr>
        <w:t>th</w:t>
      </w:r>
    </w:p>
    <w:p w:rsidR="00332E35" w:rsidRPr="00B2088E" w:rsidRDefault="00DA535B" w:rsidP="00332E35">
      <w:pPr>
        <w:pStyle w:val="ListParagraph"/>
        <w:numPr>
          <w:ilvl w:val="0"/>
          <w:numId w:val="8"/>
        </w:numPr>
        <w:tabs>
          <w:tab w:val="left" w:pos="567"/>
        </w:tabs>
        <w:spacing w:after="0" w:line="240" w:lineRule="auto"/>
        <w:ind w:right="34"/>
        <w:jc w:val="both"/>
        <w:rPr>
          <w:rFonts w:eastAsia="Times New Roman"/>
          <w:color w:val="000000"/>
          <w:sz w:val="24"/>
          <w:szCs w:val="24"/>
          <w:lang w:val="en-AU"/>
        </w:rPr>
      </w:pPr>
      <w:r w:rsidRPr="00B2088E">
        <w:rPr>
          <w:rFonts w:eastAsia="Times New Roman"/>
          <w:sz w:val="24"/>
          <w:szCs w:val="24"/>
        </w:rPr>
        <w:t xml:space="preserve">  </w:t>
      </w:r>
      <w:r w:rsidR="00332E35" w:rsidRPr="00B2088E">
        <w:rPr>
          <w:rFonts w:eastAsia="Times New Roman"/>
          <w:sz w:val="24"/>
          <w:szCs w:val="24"/>
        </w:rPr>
        <w:t>Tuổi từ 18 trở lên.</w:t>
      </w:r>
    </w:p>
    <w:p w:rsidR="00332E35" w:rsidRPr="00B2088E" w:rsidRDefault="00DA535B" w:rsidP="00332E35">
      <w:pPr>
        <w:pStyle w:val="ListParagraph"/>
        <w:numPr>
          <w:ilvl w:val="0"/>
          <w:numId w:val="8"/>
        </w:numPr>
        <w:tabs>
          <w:tab w:val="left" w:pos="567"/>
        </w:tabs>
        <w:spacing w:after="0" w:line="240" w:lineRule="auto"/>
        <w:ind w:right="34"/>
        <w:jc w:val="both"/>
        <w:rPr>
          <w:rFonts w:eastAsia="Times New Roman"/>
          <w:color w:val="000000"/>
          <w:sz w:val="24"/>
          <w:szCs w:val="24"/>
          <w:lang w:val="en-AU"/>
        </w:rPr>
      </w:pPr>
      <w:r w:rsidRPr="00B2088E">
        <w:rPr>
          <w:rFonts w:eastAsia="Times New Roman"/>
          <w:sz w:val="24"/>
          <w:szCs w:val="24"/>
        </w:rPr>
        <w:t xml:space="preserve">  </w:t>
      </w:r>
      <w:r w:rsidR="00332E35" w:rsidRPr="00B2088E">
        <w:rPr>
          <w:rFonts w:eastAsia="Times New Roman"/>
          <w:sz w:val="24"/>
          <w:szCs w:val="24"/>
        </w:rPr>
        <w:t>Chỉ số toàn trạng ECOG: 0, 1.</w:t>
      </w:r>
    </w:p>
    <w:p w:rsidR="00332E35" w:rsidRPr="00B2088E" w:rsidRDefault="00DA535B" w:rsidP="00332E35">
      <w:pPr>
        <w:pStyle w:val="ListParagraph"/>
        <w:numPr>
          <w:ilvl w:val="0"/>
          <w:numId w:val="8"/>
        </w:numPr>
        <w:tabs>
          <w:tab w:val="left" w:pos="567"/>
        </w:tabs>
        <w:spacing w:after="0" w:line="240" w:lineRule="auto"/>
        <w:ind w:right="34"/>
        <w:jc w:val="both"/>
        <w:rPr>
          <w:rFonts w:eastAsia="Times New Roman"/>
          <w:color w:val="000000"/>
          <w:sz w:val="24"/>
          <w:szCs w:val="24"/>
          <w:lang w:val="en-AU"/>
        </w:rPr>
      </w:pPr>
      <w:r w:rsidRPr="00B2088E">
        <w:rPr>
          <w:rFonts w:eastAsia="Times New Roman"/>
          <w:sz w:val="24"/>
          <w:szCs w:val="24"/>
        </w:rPr>
        <w:t xml:space="preserve">  </w:t>
      </w:r>
      <w:r w:rsidR="00332E35" w:rsidRPr="00B2088E">
        <w:rPr>
          <w:rFonts w:eastAsia="Times New Roman"/>
          <w:sz w:val="24"/>
          <w:szCs w:val="24"/>
        </w:rPr>
        <w:t>Chưa điều trị hóa chất trước đó.</w:t>
      </w:r>
    </w:p>
    <w:p w:rsidR="00332E35" w:rsidRPr="00B2088E" w:rsidRDefault="00DA535B" w:rsidP="00332E35">
      <w:pPr>
        <w:pStyle w:val="ListParagraph"/>
        <w:numPr>
          <w:ilvl w:val="0"/>
          <w:numId w:val="8"/>
        </w:numPr>
        <w:tabs>
          <w:tab w:val="left" w:pos="567"/>
        </w:tabs>
        <w:spacing w:after="0" w:line="240" w:lineRule="auto"/>
        <w:ind w:right="34"/>
        <w:jc w:val="both"/>
        <w:rPr>
          <w:rFonts w:eastAsia="Times New Roman"/>
          <w:color w:val="000000"/>
          <w:sz w:val="24"/>
          <w:szCs w:val="24"/>
          <w:lang w:val="en-AU"/>
        </w:rPr>
      </w:pPr>
      <w:r w:rsidRPr="00B2088E">
        <w:rPr>
          <w:rFonts w:eastAsia="Times New Roman"/>
          <w:sz w:val="24"/>
          <w:szCs w:val="24"/>
        </w:rPr>
        <w:t xml:space="preserve">  </w:t>
      </w:r>
      <w:r w:rsidR="00332E35" w:rsidRPr="00B2088E">
        <w:rPr>
          <w:rFonts w:eastAsia="Times New Roman"/>
          <w:sz w:val="24"/>
          <w:szCs w:val="24"/>
        </w:rPr>
        <w:t>Được điều trị bằng phác đồ paclitaxel – carboplatin tối thiểu 2 chu kỳ.</w:t>
      </w:r>
    </w:p>
    <w:p w:rsidR="00332E35" w:rsidRPr="00B2088E" w:rsidRDefault="00DA535B" w:rsidP="00332E35">
      <w:pPr>
        <w:pStyle w:val="ListParagraph"/>
        <w:numPr>
          <w:ilvl w:val="0"/>
          <w:numId w:val="8"/>
        </w:numPr>
        <w:tabs>
          <w:tab w:val="left" w:pos="567"/>
        </w:tabs>
        <w:spacing w:after="0" w:line="240" w:lineRule="auto"/>
        <w:ind w:right="34"/>
        <w:jc w:val="both"/>
        <w:rPr>
          <w:rFonts w:eastAsia="Times New Roman"/>
          <w:color w:val="000000"/>
          <w:sz w:val="24"/>
          <w:szCs w:val="24"/>
          <w:lang w:val="en-AU"/>
        </w:rPr>
      </w:pPr>
      <w:r w:rsidRPr="00B2088E">
        <w:rPr>
          <w:rFonts w:eastAsia="Times New Roman"/>
          <w:sz w:val="24"/>
          <w:szCs w:val="24"/>
        </w:rPr>
        <w:t xml:space="preserve">  </w:t>
      </w:r>
      <w:r w:rsidR="00332E35" w:rsidRPr="00B2088E">
        <w:rPr>
          <w:rFonts w:eastAsia="Times New Roman"/>
          <w:sz w:val="24"/>
          <w:szCs w:val="24"/>
        </w:rPr>
        <w:t>Các xét nghiệm chức năng gan, thận, tủy xương trong giới hạn cho phép điều trị.</w:t>
      </w:r>
    </w:p>
    <w:p w:rsidR="00332E35" w:rsidRPr="00B2088E" w:rsidRDefault="00DA535B" w:rsidP="00332E35">
      <w:pPr>
        <w:pStyle w:val="ListParagraph"/>
        <w:numPr>
          <w:ilvl w:val="0"/>
          <w:numId w:val="8"/>
        </w:numPr>
        <w:tabs>
          <w:tab w:val="left" w:pos="567"/>
        </w:tabs>
        <w:spacing w:after="0" w:line="240" w:lineRule="auto"/>
        <w:ind w:right="34"/>
        <w:jc w:val="both"/>
        <w:rPr>
          <w:rFonts w:eastAsia="Times New Roman"/>
          <w:color w:val="000000"/>
          <w:sz w:val="24"/>
          <w:szCs w:val="24"/>
          <w:lang w:val="en-AU"/>
        </w:rPr>
      </w:pPr>
      <w:r w:rsidRPr="00B2088E">
        <w:rPr>
          <w:rFonts w:eastAsia="Times New Roman"/>
          <w:sz w:val="24"/>
          <w:szCs w:val="24"/>
        </w:rPr>
        <w:t xml:space="preserve">  </w:t>
      </w:r>
      <w:r w:rsidR="00332E35" w:rsidRPr="00B2088E">
        <w:rPr>
          <w:rFonts w:eastAsia="Times New Roman"/>
          <w:sz w:val="24"/>
          <w:szCs w:val="24"/>
        </w:rPr>
        <w:t>Có đầy đủ hồ sơ bệnh án thông tin điều trị</w:t>
      </w:r>
    </w:p>
    <w:p w:rsidR="00332E35" w:rsidRPr="00B2088E" w:rsidRDefault="00332E35" w:rsidP="00332E35">
      <w:pPr>
        <w:tabs>
          <w:tab w:val="left" w:pos="567"/>
        </w:tabs>
        <w:spacing w:after="0" w:line="240" w:lineRule="auto"/>
        <w:ind w:left="360" w:right="34"/>
        <w:jc w:val="both"/>
        <w:rPr>
          <w:rFonts w:eastAsia="Times New Roman"/>
          <w:color w:val="000000"/>
          <w:sz w:val="24"/>
          <w:szCs w:val="24"/>
          <w:lang w:val="en-AU"/>
        </w:rPr>
      </w:pPr>
      <w:r w:rsidRPr="00B2088E">
        <w:rPr>
          <w:rFonts w:eastAsia="Times New Roman"/>
          <w:b/>
          <w:bCs/>
          <w:i/>
          <w:color w:val="000000"/>
          <w:sz w:val="24"/>
          <w:szCs w:val="24"/>
          <w:lang w:val="en-AU"/>
        </w:rPr>
        <w:t>Tiêu chuẩn loại trừ:</w:t>
      </w:r>
      <w:r w:rsidRPr="00B2088E">
        <w:rPr>
          <w:rFonts w:eastAsia="Times New Roman"/>
          <w:color w:val="000000"/>
          <w:sz w:val="24"/>
          <w:szCs w:val="24"/>
          <w:lang w:val="en-AU"/>
        </w:rPr>
        <w:t xml:space="preserve"> </w:t>
      </w:r>
    </w:p>
    <w:p w:rsidR="00F5678A" w:rsidRPr="00B2088E" w:rsidRDefault="00F5678A" w:rsidP="00F5678A">
      <w:pPr>
        <w:pStyle w:val="ListParagraph"/>
        <w:numPr>
          <w:ilvl w:val="0"/>
          <w:numId w:val="9"/>
        </w:numPr>
        <w:spacing w:after="0" w:line="240" w:lineRule="auto"/>
        <w:jc w:val="both"/>
        <w:rPr>
          <w:rFonts w:eastAsia="Times New Roman"/>
          <w:bCs/>
          <w:iCs/>
          <w:sz w:val="24"/>
          <w:szCs w:val="24"/>
        </w:rPr>
      </w:pPr>
      <w:r w:rsidRPr="00B2088E">
        <w:rPr>
          <w:rFonts w:eastAsia="Times New Roman"/>
          <w:sz w:val="24"/>
          <w:szCs w:val="24"/>
        </w:rPr>
        <w:t>Mắc ung thư thứ 2.</w:t>
      </w:r>
    </w:p>
    <w:p w:rsidR="00F5678A" w:rsidRPr="00B2088E" w:rsidRDefault="00F5678A" w:rsidP="00F5678A">
      <w:pPr>
        <w:pStyle w:val="ListParagraph"/>
        <w:numPr>
          <w:ilvl w:val="0"/>
          <w:numId w:val="9"/>
        </w:numPr>
        <w:spacing w:after="0" w:line="240" w:lineRule="auto"/>
        <w:jc w:val="both"/>
        <w:rPr>
          <w:rFonts w:eastAsia="Times New Roman"/>
          <w:bCs/>
          <w:iCs/>
          <w:sz w:val="24"/>
          <w:szCs w:val="24"/>
        </w:rPr>
      </w:pPr>
      <w:r w:rsidRPr="00B2088E">
        <w:rPr>
          <w:rFonts w:eastAsia="Times New Roman"/>
          <w:sz w:val="24"/>
          <w:szCs w:val="24"/>
        </w:rPr>
        <w:t>Phụ nữ có thai hoặc cho con bú.</w:t>
      </w:r>
    </w:p>
    <w:p w:rsidR="00F5678A" w:rsidRPr="00B2088E" w:rsidRDefault="00F5678A" w:rsidP="00F5678A">
      <w:pPr>
        <w:pStyle w:val="ListParagraph"/>
        <w:numPr>
          <w:ilvl w:val="0"/>
          <w:numId w:val="9"/>
        </w:numPr>
        <w:spacing w:after="0" w:line="240" w:lineRule="auto"/>
        <w:jc w:val="both"/>
        <w:rPr>
          <w:rFonts w:eastAsia="Times New Roman"/>
          <w:bCs/>
          <w:iCs/>
          <w:sz w:val="24"/>
          <w:szCs w:val="24"/>
        </w:rPr>
      </w:pPr>
      <w:r w:rsidRPr="00B2088E">
        <w:rPr>
          <w:rFonts w:eastAsia="Times New Roman"/>
          <w:sz w:val="24"/>
          <w:szCs w:val="24"/>
        </w:rPr>
        <w:t>Mắc các bệnh lý trầm trọng khác đe dọa tử vong: suy tim, suy thận, suy gan không hồi phục</w:t>
      </w:r>
      <w:r w:rsidR="002B7373" w:rsidRPr="00B2088E">
        <w:rPr>
          <w:rFonts w:eastAsia="Times New Roman"/>
          <w:sz w:val="24"/>
          <w:szCs w:val="24"/>
        </w:rPr>
        <w:t>.</w:t>
      </w:r>
    </w:p>
    <w:p w:rsidR="00332E35" w:rsidRPr="00B2088E" w:rsidRDefault="00F5678A" w:rsidP="00F5678A">
      <w:pPr>
        <w:pStyle w:val="ListParagraph"/>
        <w:numPr>
          <w:ilvl w:val="0"/>
          <w:numId w:val="9"/>
        </w:numPr>
        <w:spacing w:after="0" w:line="240" w:lineRule="auto"/>
        <w:jc w:val="both"/>
        <w:rPr>
          <w:rFonts w:eastAsia="Times New Roman"/>
          <w:bCs/>
          <w:iCs/>
          <w:sz w:val="24"/>
          <w:szCs w:val="24"/>
        </w:rPr>
      </w:pPr>
      <w:r w:rsidRPr="00B2088E">
        <w:rPr>
          <w:rFonts w:eastAsia="Times New Roman"/>
          <w:sz w:val="24"/>
          <w:szCs w:val="24"/>
        </w:rPr>
        <w:t xml:space="preserve">Bỏ dở điều trị vì lý do chủ quan của bệnh nhân và người nhà (không vì bệnh tiến triển hay tác dụng phụ không thể dung nạp. </w:t>
      </w:r>
    </w:p>
    <w:p w:rsidR="007C337E" w:rsidRPr="00B2088E" w:rsidRDefault="007C337E" w:rsidP="003652AA">
      <w:pPr>
        <w:pStyle w:val="ListParagraph"/>
        <w:numPr>
          <w:ilvl w:val="1"/>
          <w:numId w:val="13"/>
        </w:numPr>
        <w:spacing w:after="0" w:line="240" w:lineRule="auto"/>
        <w:jc w:val="both"/>
        <w:rPr>
          <w:rFonts w:eastAsia="Times New Roman"/>
          <w:b/>
          <w:iCs/>
          <w:sz w:val="24"/>
          <w:szCs w:val="24"/>
        </w:rPr>
      </w:pPr>
      <w:r w:rsidRPr="00B2088E">
        <w:rPr>
          <w:rFonts w:eastAsia="Times New Roman"/>
          <w:b/>
          <w:iCs/>
          <w:sz w:val="24"/>
          <w:szCs w:val="24"/>
        </w:rPr>
        <w:t>Phương pháp nghiên cứu</w:t>
      </w:r>
    </w:p>
    <w:p w:rsidR="00B733F5" w:rsidRPr="00B2088E" w:rsidRDefault="00B733F5" w:rsidP="00B733F5">
      <w:pPr>
        <w:pStyle w:val="ListParagraph"/>
        <w:numPr>
          <w:ilvl w:val="0"/>
          <w:numId w:val="11"/>
        </w:numPr>
        <w:spacing w:after="0" w:line="240" w:lineRule="auto"/>
        <w:ind w:right="34"/>
        <w:jc w:val="both"/>
        <w:outlineLvl w:val="0"/>
        <w:rPr>
          <w:rFonts w:eastAsia="Times New Roman"/>
          <w:sz w:val="24"/>
          <w:szCs w:val="24"/>
          <w:lang w:val="vi-VN"/>
        </w:rPr>
      </w:pPr>
      <w:r w:rsidRPr="00B2088E">
        <w:rPr>
          <w:rFonts w:eastAsia="Times New Roman"/>
          <w:sz w:val="24"/>
          <w:szCs w:val="24"/>
          <w:lang w:val="vi-VN"/>
        </w:rPr>
        <w:t xml:space="preserve">Thiết kế nghiên cứu: </w:t>
      </w:r>
      <w:r w:rsidRPr="00B2088E">
        <w:rPr>
          <w:rFonts w:eastAsia="Times New Roman"/>
          <w:sz w:val="24"/>
          <w:szCs w:val="24"/>
          <w:lang w:val="pt-BR"/>
        </w:rPr>
        <w:t>Mô tả hồi cứu,</w:t>
      </w:r>
      <w:r w:rsidRPr="00B2088E">
        <w:rPr>
          <w:rFonts w:eastAsia="Times New Roman"/>
          <w:sz w:val="24"/>
          <w:szCs w:val="24"/>
          <w:lang w:val="vi-VN"/>
        </w:rPr>
        <w:t xml:space="preserve"> </w:t>
      </w:r>
      <w:r w:rsidRPr="00B2088E">
        <w:rPr>
          <w:rFonts w:eastAsia="Times New Roman"/>
          <w:sz w:val="24"/>
          <w:szCs w:val="24"/>
          <w:lang w:val="pt-BR"/>
        </w:rPr>
        <w:t>theo dõi dọc</w:t>
      </w:r>
    </w:p>
    <w:p w:rsidR="00B733F5" w:rsidRPr="00B2088E" w:rsidRDefault="00B733F5" w:rsidP="00B733F5">
      <w:pPr>
        <w:pStyle w:val="ListParagraph"/>
        <w:numPr>
          <w:ilvl w:val="0"/>
          <w:numId w:val="11"/>
        </w:numPr>
        <w:spacing w:after="0" w:line="240" w:lineRule="auto"/>
        <w:ind w:right="34"/>
        <w:jc w:val="both"/>
        <w:outlineLvl w:val="0"/>
        <w:rPr>
          <w:rFonts w:eastAsia="Times New Roman"/>
          <w:color w:val="000000"/>
          <w:sz w:val="24"/>
          <w:szCs w:val="24"/>
          <w:lang w:val="vi-VN"/>
        </w:rPr>
      </w:pPr>
      <w:r w:rsidRPr="00B2088E">
        <w:rPr>
          <w:rFonts w:eastAsia="Times New Roman"/>
          <w:sz w:val="24"/>
          <w:szCs w:val="24"/>
          <w:lang w:val="vi-VN"/>
        </w:rPr>
        <w:t xml:space="preserve">Mẫu nghiên cứu: </w:t>
      </w:r>
      <w:r w:rsidRPr="00B2088E">
        <w:rPr>
          <w:rFonts w:eastAsia="Times New Roman"/>
          <w:sz w:val="24"/>
          <w:szCs w:val="24"/>
          <w:lang w:val="pt-BR"/>
        </w:rPr>
        <w:t xml:space="preserve">Mẫu thuận tiện </w:t>
      </w:r>
      <w:r w:rsidRPr="00B2088E">
        <w:rPr>
          <w:rFonts w:eastAsia="Times New Roman"/>
          <w:sz w:val="24"/>
          <w:szCs w:val="24"/>
          <w:lang w:val="vi-VN"/>
        </w:rPr>
        <w:t>20</w:t>
      </w:r>
      <w:r w:rsidRPr="00B2088E">
        <w:rPr>
          <w:rFonts w:eastAsia="Times New Roman"/>
          <w:sz w:val="24"/>
          <w:szCs w:val="24"/>
          <w:lang w:val="pt-BR"/>
        </w:rPr>
        <w:t xml:space="preserve"> bệnh nhân</w:t>
      </w:r>
    </w:p>
    <w:p w:rsidR="00B733F5" w:rsidRPr="005C43E8" w:rsidRDefault="00172294" w:rsidP="005C43E8">
      <w:pPr>
        <w:pStyle w:val="ListParagraph"/>
        <w:numPr>
          <w:ilvl w:val="0"/>
          <w:numId w:val="21"/>
        </w:numPr>
        <w:spacing w:after="0" w:line="240" w:lineRule="auto"/>
        <w:jc w:val="both"/>
        <w:rPr>
          <w:rFonts w:eastAsia="Times New Roman"/>
          <w:b/>
          <w:iCs/>
          <w:sz w:val="24"/>
          <w:szCs w:val="24"/>
        </w:rPr>
      </w:pPr>
      <w:r w:rsidRPr="005C43E8">
        <w:rPr>
          <w:rFonts w:eastAsia="Times New Roman"/>
          <w:b/>
          <w:iCs/>
          <w:sz w:val="24"/>
          <w:szCs w:val="24"/>
        </w:rPr>
        <w:t>KẾT QUẢ</w:t>
      </w:r>
    </w:p>
    <w:p w:rsidR="00172294" w:rsidRPr="00B2088E" w:rsidRDefault="003652AA" w:rsidP="003652AA">
      <w:pPr>
        <w:pStyle w:val="ListParagraph"/>
        <w:numPr>
          <w:ilvl w:val="1"/>
          <w:numId w:val="15"/>
        </w:numPr>
        <w:spacing w:after="0" w:line="240" w:lineRule="auto"/>
        <w:jc w:val="both"/>
        <w:rPr>
          <w:rFonts w:eastAsia="Times New Roman"/>
          <w:b/>
          <w:iCs/>
          <w:sz w:val="24"/>
          <w:szCs w:val="24"/>
        </w:rPr>
      </w:pPr>
      <w:r w:rsidRPr="00B2088E">
        <w:rPr>
          <w:rFonts w:eastAsia="Times New Roman"/>
          <w:b/>
          <w:iCs/>
          <w:sz w:val="24"/>
          <w:szCs w:val="24"/>
        </w:rPr>
        <w:t xml:space="preserve">   </w:t>
      </w:r>
      <w:r w:rsidR="00172294" w:rsidRPr="00B2088E">
        <w:rPr>
          <w:rFonts w:eastAsia="Times New Roman"/>
          <w:b/>
          <w:iCs/>
          <w:sz w:val="24"/>
          <w:szCs w:val="24"/>
        </w:rPr>
        <w:t>Một số đặc điểm lâm sàng, cận lâm sàng</w:t>
      </w:r>
      <w:r w:rsidR="00172294" w:rsidRPr="00B2088E">
        <w:rPr>
          <w:rFonts w:eastAsia="Times New Roman"/>
          <w:b/>
          <w:iCs/>
          <w:sz w:val="24"/>
          <w:szCs w:val="24"/>
        </w:rPr>
        <w:tab/>
      </w:r>
    </w:p>
    <w:tbl>
      <w:tblPr>
        <w:tblW w:w="9356" w:type="dxa"/>
        <w:tblInd w:w="93" w:type="dxa"/>
        <w:tblCellMar>
          <w:left w:w="0" w:type="dxa"/>
          <w:right w:w="0" w:type="dxa"/>
        </w:tblCellMar>
        <w:tblLook w:val="04A0"/>
      </w:tblPr>
      <w:tblGrid>
        <w:gridCol w:w="5270"/>
        <w:gridCol w:w="4086"/>
      </w:tblGrid>
      <w:tr w:rsidR="00924C0F" w:rsidRPr="00B2088E" w:rsidTr="000F238E">
        <w:trPr>
          <w:trHeight w:val="383"/>
        </w:trPr>
        <w:tc>
          <w:tcPr>
            <w:tcW w:w="5270" w:type="dxa"/>
            <w:tcBorders>
              <w:top w:val="single" w:sz="4" w:space="0" w:color="auto"/>
              <w:left w:val="single" w:sz="4" w:space="0" w:color="auto"/>
              <w:bottom w:val="single" w:sz="8" w:space="0" w:color="FFFFFF"/>
              <w:right w:val="single" w:sz="4" w:space="0" w:color="auto"/>
            </w:tcBorders>
            <w:shd w:val="clear" w:color="auto" w:fill="auto"/>
            <w:tcMar>
              <w:top w:w="35" w:type="dxa"/>
              <w:left w:w="93" w:type="dxa"/>
              <w:bottom w:w="35" w:type="dxa"/>
              <w:right w:w="93" w:type="dxa"/>
            </w:tcMar>
            <w:vAlign w:val="center"/>
          </w:tcPr>
          <w:p w:rsidR="00924C0F" w:rsidRPr="000F238E" w:rsidRDefault="00924C0F" w:rsidP="0048225C">
            <w:pPr>
              <w:pStyle w:val="NormalWeb"/>
              <w:spacing w:beforeAutospacing="0" w:afterAutospacing="0"/>
              <w:ind w:left="426"/>
              <w:jc w:val="both"/>
              <w:rPr>
                <w:sz w:val="22"/>
                <w:szCs w:val="22"/>
              </w:rPr>
            </w:pPr>
            <w:r w:rsidRPr="000F238E">
              <w:rPr>
                <w:b/>
                <w:bCs/>
                <w:kern w:val="2"/>
                <w:sz w:val="22"/>
                <w:szCs w:val="22"/>
              </w:rPr>
              <w:lastRenderedPageBreak/>
              <w:t>Đặc điểm bệnh nhân</w:t>
            </w:r>
          </w:p>
        </w:tc>
        <w:tc>
          <w:tcPr>
            <w:tcW w:w="4086" w:type="dxa"/>
            <w:tcBorders>
              <w:top w:val="single" w:sz="4" w:space="0" w:color="auto"/>
              <w:left w:val="single" w:sz="4" w:space="0" w:color="auto"/>
              <w:bottom w:val="single" w:sz="8" w:space="0" w:color="FFFFFF"/>
              <w:right w:val="single" w:sz="4" w:space="0" w:color="auto"/>
            </w:tcBorders>
            <w:shd w:val="clear" w:color="auto" w:fill="auto"/>
            <w:tcMar>
              <w:top w:w="35" w:type="dxa"/>
              <w:left w:w="93" w:type="dxa"/>
              <w:bottom w:w="35" w:type="dxa"/>
              <w:right w:w="93" w:type="dxa"/>
            </w:tcMar>
            <w:vAlign w:val="center"/>
          </w:tcPr>
          <w:p w:rsidR="00924C0F" w:rsidRPr="000F238E" w:rsidRDefault="00924C0F" w:rsidP="0048225C">
            <w:pPr>
              <w:pStyle w:val="NormalWeb"/>
              <w:spacing w:beforeAutospacing="0" w:afterAutospacing="0"/>
              <w:ind w:left="426"/>
              <w:jc w:val="both"/>
              <w:rPr>
                <w:sz w:val="22"/>
                <w:szCs w:val="22"/>
              </w:rPr>
            </w:pPr>
            <w:r w:rsidRPr="000F238E">
              <w:rPr>
                <w:b/>
                <w:bCs/>
                <w:kern w:val="2"/>
                <w:sz w:val="22"/>
                <w:szCs w:val="22"/>
              </w:rPr>
              <w:t>N = 20 (%)</w:t>
            </w:r>
          </w:p>
        </w:tc>
      </w:tr>
      <w:tr w:rsidR="00924C0F" w:rsidRPr="00B2088E" w:rsidTr="00F17C8E">
        <w:trPr>
          <w:trHeight w:val="212"/>
        </w:trPr>
        <w:tc>
          <w:tcPr>
            <w:tcW w:w="9356" w:type="dxa"/>
            <w:gridSpan w:val="2"/>
            <w:tcBorders>
              <w:top w:val="single" w:sz="8" w:space="0" w:color="FFFFFF"/>
              <w:left w:val="single" w:sz="4" w:space="0" w:color="auto"/>
              <w:bottom w:val="single" w:sz="4" w:space="0" w:color="auto"/>
              <w:right w:val="single" w:sz="4" w:space="0" w:color="auto"/>
            </w:tcBorders>
            <w:shd w:val="clear" w:color="auto" w:fill="auto"/>
            <w:tcMar>
              <w:top w:w="35" w:type="dxa"/>
              <w:left w:w="93" w:type="dxa"/>
              <w:bottom w:w="35" w:type="dxa"/>
              <w:right w:w="93" w:type="dxa"/>
            </w:tcMar>
            <w:vAlign w:val="center"/>
          </w:tcPr>
          <w:p w:rsidR="00924C0F" w:rsidRPr="000F238E" w:rsidRDefault="00924C0F" w:rsidP="0048225C">
            <w:pPr>
              <w:pStyle w:val="NormalWeb"/>
              <w:spacing w:beforeAutospacing="0" w:afterAutospacing="0"/>
              <w:ind w:left="426"/>
              <w:jc w:val="both"/>
              <w:rPr>
                <w:sz w:val="22"/>
                <w:szCs w:val="22"/>
              </w:rPr>
            </w:pPr>
            <w:r w:rsidRPr="000F238E">
              <w:rPr>
                <w:b/>
                <w:bCs/>
                <w:kern w:val="2"/>
                <w:sz w:val="22"/>
                <w:szCs w:val="22"/>
              </w:rPr>
              <w:t>Tuổi</w:t>
            </w:r>
          </w:p>
        </w:tc>
      </w:tr>
      <w:tr w:rsidR="00924C0F" w:rsidRPr="00B2088E" w:rsidTr="00F17C8E">
        <w:trPr>
          <w:trHeight w:val="208"/>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spacing w:after="0" w:line="240" w:lineRule="auto"/>
              <w:ind w:left="426"/>
              <w:jc w:val="both"/>
              <w:textAlignment w:val="top"/>
              <w:rPr>
                <w:sz w:val="22"/>
                <w:szCs w:val="22"/>
              </w:rPr>
            </w:pPr>
            <w:r w:rsidRPr="000F238E">
              <w:rPr>
                <w:rFonts w:eastAsia="SimSun"/>
                <w:kern w:val="2"/>
                <w:sz w:val="22"/>
                <w:szCs w:val="22"/>
                <w:lang w:eastAsia="zh-CN"/>
              </w:rPr>
              <w:t>Trung bình (X ± SD)</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pStyle w:val="NormalWeb"/>
              <w:spacing w:beforeAutospacing="0" w:afterAutospacing="0"/>
              <w:ind w:left="426"/>
              <w:jc w:val="both"/>
              <w:rPr>
                <w:sz w:val="22"/>
                <w:szCs w:val="22"/>
              </w:rPr>
            </w:pPr>
            <w:r w:rsidRPr="000F238E">
              <w:rPr>
                <w:kern w:val="2"/>
                <w:sz w:val="22"/>
                <w:szCs w:val="22"/>
              </w:rPr>
              <w:t xml:space="preserve">56,4 ± 8,7 (tuổi) </w:t>
            </w:r>
          </w:p>
        </w:tc>
      </w:tr>
      <w:tr w:rsidR="00924C0F" w:rsidRPr="00B2088E" w:rsidTr="00F17C8E">
        <w:trPr>
          <w:trHeight w:val="208"/>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pStyle w:val="NormalWeb"/>
              <w:spacing w:beforeAutospacing="0" w:afterAutospacing="0"/>
              <w:ind w:left="426"/>
              <w:jc w:val="both"/>
              <w:rPr>
                <w:sz w:val="22"/>
                <w:szCs w:val="22"/>
              </w:rPr>
            </w:pPr>
            <w:r w:rsidRPr="000F238E">
              <w:rPr>
                <w:b/>
                <w:bCs/>
                <w:kern w:val="2"/>
                <w:sz w:val="22"/>
                <w:szCs w:val="22"/>
              </w:rPr>
              <w:t>Giới</w:t>
            </w:r>
          </w:p>
        </w:tc>
      </w:tr>
      <w:tr w:rsidR="00924C0F" w:rsidRPr="00B2088E" w:rsidTr="00F17C8E">
        <w:trPr>
          <w:trHeight w:val="208"/>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spacing w:after="0" w:line="240" w:lineRule="auto"/>
              <w:ind w:left="426"/>
              <w:jc w:val="both"/>
              <w:textAlignment w:val="top"/>
              <w:rPr>
                <w:sz w:val="22"/>
                <w:szCs w:val="22"/>
              </w:rPr>
            </w:pPr>
            <w:r w:rsidRPr="000F238E">
              <w:rPr>
                <w:rFonts w:eastAsia="SimSun"/>
                <w:kern w:val="2"/>
                <w:sz w:val="22"/>
                <w:szCs w:val="22"/>
                <w:lang w:eastAsia="zh-CN"/>
              </w:rPr>
              <w:t>Nam</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pStyle w:val="NormalWeb"/>
              <w:spacing w:beforeAutospacing="0" w:afterAutospacing="0"/>
              <w:ind w:left="426"/>
              <w:jc w:val="both"/>
              <w:rPr>
                <w:sz w:val="22"/>
                <w:szCs w:val="22"/>
              </w:rPr>
            </w:pPr>
            <w:r w:rsidRPr="000F238E">
              <w:rPr>
                <w:kern w:val="2"/>
                <w:sz w:val="22"/>
                <w:szCs w:val="22"/>
              </w:rPr>
              <w:t>13 (65%)</w:t>
            </w:r>
          </w:p>
        </w:tc>
      </w:tr>
      <w:tr w:rsidR="00924C0F" w:rsidRPr="00B2088E" w:rsidTr="00F17C8E">
        <w:trPr>
          <w:trHeight w:val="208"/>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spacing w:after="0" w:line="240" w:lineRule="auto"/>
              <w:ind w:left="426"/>
              <w:jc w:val="both"/>
              <w:textAlignment w:val="top"/>
              <w:rPr>
                <w:sz w:val="22"/>
                <w:szCs w:val="22"/>
              </w:rPr>
            </w:pPr>
            <w:r w:rsidRPr="000F238E">
              <w:rPr>
                <w:rFonts w:eastAsia="SimSun"/>
                <w:kern w:val="2"/>
                <w:sz w:val="22"/>
                <w:szCs w:val="22"/>
                <w:lang w:eastAsia="zh-CN"/>
              </w:rPr>
              <w:t>Nữ</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pStyle w:val="NormalWeb"/>
              <w:spacing w:beforeAutospacing="0" w:afterAutospacing="0"/>
              <w:ind w:left="426"/>
              <w:jc w:val="both"/>
              <w:rPr>
                <w:sz w:val="22"/>
                <w:szCs w:val="22"/>
              </w:rPr>
            </w:pPr>
            <w:r w:rsidRPr="000F238E">
              <w:rPr>
                <w:kern w:val="2"/>
                <w:sz w:val="22"/>
                <w:szCs w:val="22"/>
              </w:rPr>
              <w:t>7 (35%)</w:t>
            </w:r>
          </w:p>
        </w:tc>
      </w:tr>
      <w:tr w:rsidR="00924C0F" w:rsidRPr="00B2088E" w:rsidTr="00F17C8E">
        <w:trPr>
          <w:trHeight w:val="208"/>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pStyle w:val="NormalWeb"/>
              <w:spacing w:beforeAutospacing="0" w:afterAutospacing="0"/>
              <w:ind w:left="426"/>
              <w:jc w:val="both"/>
              <w:rPr>
                <w:sz w:val="22"/>
                <w:szCs w:val="22"/>
              </w:rPr>
            </w:pPr>
            <w:r w:rsidRPr="000F238E">
              <w:rPr>
                <w:b/>
                <w:bCs/>
                <w:kern w:val="2"/>
                <w:sz w:val="22"/>
                <w:szCs w:val="22"/>
              </w:rPr>
              <w:t>Thể trạng (ECOG)</w:t>
            </w:r>
          </w:p>
        </w:tc>
      </w:tr>
      <w:tr w:rsidR="00924C0F" w:rsidRPr="00B2088E" w:rsidTr="00F17C8E">
        <w:trPr>
          <w:trHeight w:val="208"/>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spacing w:after="0" w:line="240" w:lineRule="auto"/>
              <w:ind w:left="426"/>
              <w:jc w:val="both"/>
              <w:textAlignment w:val="top"/>
              <w:rPr>
                <w:sz w:val="22"/>
                <w:szCs w:val="22"/>
              </w:rPr>
            </w:pPr>
            <w:r w:rsidRPr="000F238E">
              <w:rPr>
                <w:rFonts w:eastAsia="SimSun"/>
                <w:kern w:val="2"/>
                <w:sz w:val="22"/>
                <w:szCs w:val="22"/>
                <w:lang w:eastAsia="zh-CN"/>
              </w:rPr>
              <w:t>PS 0</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pStyle w:val="NormalWeb"/>
              <w:spacing w:beforeAutospacing="0" w:afterAutospacing="0"/>
              <w:ind w:left="426"/>
              <w:jc w:val="both"/>
              <w:rPr>
                <w:sz w:val="22"/>
                <w:szCs w:val="22"/>
              </w:rPr>
            </w:pPr>
            <w:r w:rsidRPr="000F238E">
              <w:rPr>
                <w:kern w:val="2"/>
                <w:sz w:val="22"/>
                <w:szCs w:val="22"/>
              </w:rPr>
              <w:t>15 (75%)</w:t>
            </w:r>
          </w:p>
        </w:tc>
      </w:tr>
      <w:tr w:rsidR="00924C0F" w:rsidRPr="00B2088E" w:rsidTr="00F17C8E">
        <w:trPr>
          <w:trHeight w:val="208"/>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spacing w:after="0" w:line="240" w:lineRule="auto"/>
              <w:ind w:left="426"/>
              <w:jc w:val="both"/>
              <w:textAlignment w:val="top"/>
              <w:rPr>
                <w:sz w:val="22"/>
                <w:szCs w:val="22"/>
              </w:rPr>
            </w:pPr>
            <w:r w:rsidRPr="000F238E">
              <w:rPr>
                <w:rFonts w:eastAsia="SimSun"/>
                <w:kern w:val="2"/>
                <w:sz w:val="22"/>
                <w:szCs w:val="22"/>
                <w:lang w:eastAsia="zh-CN"/>
              </w:rPr>
              <w:t>PS 1</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pStyle w:val="NormalWeb"/>
              <w:spacing w:beforeAutospacing="0" w:afterAutospacing="0"/>
              <w:ind w:left="426"/>
              <w:jc w:val="both"/>
              <w:rPr>
                <w:sz w:val="22"/>
                <w:szCs w:val="22"/>
              </w:rPr>
            </w:pPr>
            <w:r w:rsidRPr="000F238E">
              <w:rPr>
                <w:kern w:val="2"/>
                <w:sz w:val="22"/>
                <w:szCs w:val="22"/>
              </w:rPr>
              <w:t xml:space="preserve"> 5 (25%)</w:t>
            </w:r>
          </w:p>
        </w:tc>
      </w:tr>
      <w:tr w:rsidR="00924C0F" w:rsidRPr="00B2088E" w:rsidTr="00F17C8E">
        <w:trPr>
          <w:trHeight w:val="208"/>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B6623F" w:rsidP="0048225C">
            <w:pPr>
              <w:pStyle w:val="NormalWeb"/>
              <w:spacing w:beforeAutospacing="0" w:afterAutospacing="0"/>
              <w:ind w:left="426"/>
              <w:jc w:val="both"/>
              <w:rPr>
                <w:b/>
                <w:bCs/>
                <w:sz w:val="22"/>
                <w:szCs w:val="22"/>
              </w:rPr>
            </w:pPr>
            <w:r w:rsidRPr="000F238E">
              <w:rPr>
                <w:b/>
                <w:bCs/>
                <w:sz w:val="22"/>
                <w:szCs w:val="22"/>
              </w:rPr>
              <w:t>Giải phẫu bệnh</w:t>
            </w:r>
          </w:p>
        </w:tc>
      </w:tr>
      <w:tr w:rsidR="00924C0F" w:rsidRPr="00B2088E" w:rsidTr="00F17C8E">
        <w:trPr>
          <w:trHeight w:val="208"/>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B6623F" w:rsidP="0048225C">
            <w:pPr>
              <w:spacing w:after="0" w:line="240" w:lineRule="auto"/>
              <w:ind w:left="426"/>
              <w:jc w:val="both"/>
              <w:textAlignment w:val="top"/>
              <w:rPr>
                <w:sz w:val="22"/>
                <w:szCs w:val="22"/>
              </w:rPr>
            </w:pPr>
            <w:r w:rsidRPr="000F238E">
              <w:rPr>
                <w:rFonts w:eastAsia="SimSun"/>
                <w:kern w:val="2"/>
                <w:sz w:val="22"/>
                <w:szCs w:val="22"/>
                <w:lang w:eastAsia="zh-CN"/>
              </w:rPr>
              <w:t>Carcinoma vảy</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924C0F" w:rsidP="0048225C">
            <w:pPr>
              <w:pStyle w:val="NormalWeb"/>
              <w:spacing w:beforeAutospacing="0" w:afterAutospacing="0"/>
              <w:ind w:left="426"/>
              <w:jc w:val="both"/>
              <w:rPr>
                <w:sz w:val="22"/>
                <w:szCs w:val="22"/>
              </w:rPr>
            </w:pPr>
            <w:r w:rsidRPr="000F238E">
              <w:rPr>
                <w:kern w:val="2"/>
                <w:sz w:val="22"/>
                <w:szCs w:val="22"/>
              </w:rPr>
              <w:t>14 (</w:t>
            </w:r>
            <w:r w:rsidR="00B6623F" w:rsidRPr="000F238E">
              <w:rPr>
                <w:kern w:val="2"/>
                <w:sz w:val="22"/>
                <w:szCs w:val="22"/>
              </w:rPr>
              <w:t>70</w:t>
            </w:r>
            <w:r w:rsidRPr="000F238E">
              <w:rPr>
                <w:kern w:val="2"/>
                <w:sz w:val="22"/>
                <w:szCs w:val="22"/>
              </w:rPr>
              <w:t>%)</w:t>
            </w:r>
          </w:p>
        </w:tc>
      </w:tr>
      <w:tr w:rsidR="00924C0F" w:rsidRPr="00B2088E" w:rsidTr="00F17C8E">
        <w:trPr>
          <w:trHeight w:val="208"/>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B6623F" w:rsidP="0048225C">
            <w:pPr>
              <w:spacing w:after="0" w:line="240" w:lineRule="auto"/>
              <w:ind w:left="426"/>
              <w:jc w:val="both"/>
              <w:textAlignment w:val="top"/>
              <w:rPr>
                <w:sz w:val="22"/>
                <w:szCs w:val="22"/>
              </w:rPr>
            </w:pPr>
            <w:r w:rsidRPr="000F238E">
              <w:rPr>
                <w:rFonts w:eastAsia="SimSun"/>
                <w:kern w:val="2"/>
                <w:sz w:val="22"/>
                <w:szCs w:val="22"/>
                <w:lang w:eastAsia="zh-CN"/>
              </w:rPr>
              <w:t>Carcinoma, NOS</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B6623F" w:rsidP="0048225C">
            <w:pPr>
              <w:pStyle w:val="NormalWeb"/>
              <w:spacing w:beforeAutospacing="0" w:afterAutospacing="0"/>
              <w:ind w:left="426"/>
              <w:jc w:val="both"/>
              <w:rPr>
                <w:sz w:val="22"/>
                <w:szCs w:val="22"/>
              </w:rPr>
            </w:pPr>
            <w:r w:rsidRPr="000F238E">
              <w:rPr>
                <w:kern w:val="2"/>
                <w:sz w:val="22"/>
                <w:szCs w:val="22"/>
              </w:rPr>
              <w:t>2 (10%)</w:t>
            </w:r>
          </w:p>
        </w:tc>
      </w:tr>
      <w:tr w:rsidR="00924C0F" w:rsidRPr="00B2088E" w:rsidTr="00F17C8E">
        <w:trPr>
          <w:trHeight w:val="208"/>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B6623F" w:rsidP="0048225C">
            <w:pPr>
              <w:spacing w:after="0" w:line="240" w:lineRule="auto"/>
              <w:ind w:left="426"/>
              <w:jc w:val="both"/>
              <w:textAlignment w:val="top"/>
              <w:rPr>
                <w:sz w:val="22"/>
                <w:szCs w:val="22"/>
              </w:rPr>
            </w:pPr>
            <w:r w:rsidRPr="000F238E">
              <w:rPr>
                <w:rFonts w:eastAsia="SimSun"/>
                <w:kern w:val="2"/>
                <w:sz w:val="22"/>
                <w:szCs w:val="22"/>
                <w:lang w:eastAsia="zh-CN"/>
              </w:rPr>
              <w:t>Carcinoma dạng lympho biểu mô</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B6623F" w:rsidP="0048225C">
            <w:pPr>
              <w:pStyle w:val="NormalWeb"/>
              <w:spacing w:beforeAutospacing="0" w:afterAutospacing="0"/>
              <w:ind w:left="426"/>
              <w:jc w:val="both"/>
              <w:rPr>
                <w:sz w:val="22"/>
                <w:szCs w:val="22"/>
              </w:rPr>
            </w:pPr>
            <w:r w:rsidRPr="000F238E">
              <w:rPr>
                <w:kern w:val="2"/>
                <w:sz w:val="22"/>
                <w:szCs w:val="22"/>
              </w:rPr>
              <w:t>1 (5%)</w:t>
            </w:r>
          </w:p>
        </w:tc>
      </w:tr>
      <w:tr w:rsidR="00B6623F" w:rsidRPr="00B2088E" w:rsidTr="00F17C8E">
        <w:trPr>
          <w:trHeight w:val="208"/>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B6623F" w:rsidRPr="000F238E" w:rsidRDefault="00B6623F" w:rsidP="0048225C">
            <w:pPr>
              <w:spacing w:after="0" w:line="240" w:lineRule="auto"/>
              <w:ind w:left="426"/>
              <w:jc w:val="both"/>
              <w:textAlignment w:val="top"/>
              <w:rPr>
                <w:rFonts w:eastAsia="SimSun"/>
                <w:kern w:val="2"/>
                <w:sz w:val="22"/>
                <w:szCs w:val="22"/>
                <w:lang w:eastAsia="zh-CN"/>
              </w:rPr>
            </w:pPr>
            <w:r w:rsidRPr="000F238E">
              <w:rPr>
                <w:rFonts w:eastAsia="SimSun"/>
                <w:kern w:val="2"/>
                <w:sz w:val="22"/>
                <w:szCs w:val="22"/>
                <w:lang w:eastAsia="zh-CN"/>
              </w:rPr>
              <w:t>Carcinoma TKNT tế bào lớn</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B6623F" w:rsidRPr="000F238E" w:rsidRDefault="00B6623F" w:rsidP="0048225C">
            <w:pPr>
              <w:pStyle w:val="NormalWeb"/>
              <w:spacing w:beforeAutospacing="0" w:afterAutospacing="0"/>
              <w:ind w:left="426"/>
              <w:jc w:val="both"/>
              <w:rPr>
                <w:kern w:val="2"/>
                <w:sz w:val="22"/>
                <w:szCs w:val="22"/>
              </w:rPr>
            </w:pPr>
            <w:r w:rsidRPr="000F238E">
              <w:rPr>
                <w:kern w:val="2"/>
                <w:sz w:val="22"/>
                <w:szCs w:val="22"/>
              </w:rPr>
              <w:t>1 (5%)</w:t>
            </w:r>
          </w:p>
        </w:tc>
      </w:tr>
      <w:tr w:rsidR="00924C0F" w:rsidRPr="00B2088E" w:rsidTr="00F17C8E">
        <w:trPr>
          <w:trHeight w:val="208"/>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B6623F" w:rsidP="0048225C">
            <w:pPr>
              <w:pStyle w:val="NormalWeb"/>
              <w:spacing w:beforeAutospacing="0" w:afterAutospacing="0"/>
              <w:ind w:left="426"/>
              <w:jc w:val="both"/>
              <w:rPr>
                <w:kern w:val="2"/>
                <w:sz w:val="22"/>
                <w:szCs w:val="22"/>
              </w:rPr>
            </w:pPr>
            <w:r w:rsidRPr="000F238E">
              <w:rPr>
                <w:b/>
                <w:bCs/>
                <w:kern w:val="2"/>
                <w:sz w:val="22"/>
                <w:szCs w:val="22"/>
              </w:rPr>
              <w:t>Giai đoạn bệnh</w:t>
            </w:r>
          </w:p>
        </w:tc>
      </w:tr>
      <w:tr w:rsidR="00924C0F" w:rsidRPr="00B2088E" w:rsidTr="00F17C8E">
        <w:trPr>
          <w:trHeight w:val="208"/>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B6623F" w:rsidP="0048225C">
            <w:pPr>
              <w:spacing w:after="0" w:line="240" w:lineRule="auto"/>
              <w:ind w:left="426"/>
              <w:jc w:val="both"/>
              <w:textAlignment w:val="top"/>
              <w:rPr>
                <w:rFonts w:eastAsia="SimSun"/>
                <w:kern w:val="2"/>
                <w:sz w:val="22"/>
                <w:szCs w:val="22"/>
                <w:lang w:eastAsia="zh-CN"/>
              </w:rPr>
            </w:pPr>
            <w:r w:rsidRPr="000F238E">
              <w:rPr>
                <w:rFonts w:eastAsia="SimSun"/>
                <w:kern w:val="2"/>
                <w:sz w:val="22"/>
                <w:szCs w:val="22"/>
                <w:lang w:eastAsia="zh-CN"/>
              </w:rPr>
              <w:t>Giai đoạn IVA</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B6623F" w:rsidP="0048225C">
            <w:pPr>
              <w:pStyle w:val="NormalWeb"/>
              <w:spacing w:beforeAutospacing="0" w:afterAutospacing="0"/>
              <w:ind w:left="426"/>
              <w:jc w:val="both"/>
              <w:rPr>
                <w:kern w:val="2"/>
                <w:sz w:val="22"/>
                <w:szCs w:val="22"/>
              </w:rPr>
            </w:pPr>
            <w:r w:rsidRPr="000F238E">
              <w:rPr>
                <w:rFonts w:eastAsia="mn-ea"/>
                <w:color w:val="000000"/>
                <w:kern w:val="2"/>
                <w:sz w:val="22"/>
                <w:szCs w:val="22"/>
              </w:rPr>
              <w:t>8 (40%)</w:t>
            </w:r>
          </w:p>
        </w:tc>
      </w:tr>
      <w:tr w:rsidR="00924C0F" w:rsidRPr="00B2088E" w:rsidTr="00F17C8E">
        <w:trPr>
          <w:trHeight w:val="208"/>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B6623F" w:rsidP="0048225C">
            <w:pPr>
              <w:spacing w:after="0" w:line="240" w:lineRule="auto"/>
              <w:ind w:left="426"/>
              <w:jc w:val="both"/>
              <w:textAlignment w:val="top"/>
              <w:rPr>
                <w:rFonts w:eastAsia="SimSun"/>
                <w:kern w:val="2"/>
                <w:sz w:val="22"/>
                <w:szCs w:val="22"/>
                <w:lang w:eastAsia="zh-CN"/>
              </w:rPr>
            </w:pPr>
            <w:r w:rsidRPr="000F238E">
              <w:rPr>
                <w:rFonts w:eastAsia="SimSun"/>
                <w:kern w:val="2"/>
                <w:sz w:val="22"/>
                <w:szCs w:val="22"/>
                <w:lang w:eastAsia="zh-CN"/>
              </w:rPr>
              <w:t>Giai đoạn IVB</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B6623F" w:rsidP="0048225C">
            <w:pPr>
              <w:pStyle w:val="NormalWeb"/>
              <w:spacing w:beforeAutospacing="0" w:afterAutospacing="0"/>
              <w:ind w:left="426"/>
              <w:jc w:val="both"/>
              <w:rPr>
                <w:kern w:val="2"/>
                <w:sz w:val="22"/>
                <w:szCs w:val="22"/>
              </w:rPr>
            </w:pPr>
            <w:r w:rsidRPr="000F238E">
              <w:rPr>
                <w:rFonts w:eastAsia="mn-ea"/>
                <w:color w:val="000000"/>
                <w:kern w:val="2"/>
                <w:sz w:val="22"/>
                <w:szCs w:val="22"/>
              </w:rPr>
              <w:t>12 (60%)</w:t>
            </w:r>
          </w:p>
        </w:tc>
      </w:tr>
      <w:tr w:rsidR="00924C0F" w:rsidRPr="00B2088E" w:rsidTr="00F17C8E">
        <w:trPr>
          <w:trHeight w:val="19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6F6CC4" w:rsidP="0048225C">
            <w:pPr>
              <w:pStyle w:val="NormalWeb"/>
              <w:spacing w:beforeAutospacing="0" w:afterAutospacing="0"/>
              <w:ind w:left="426"/>
              <w:jc w:val="both"/>
              <w:rPr>
                <w:kern w:val="2"/>
                <w:sz w:val="22"/>
                <w:szCs w:val="22"/>
              </w:rPr>
            </w:pPr>
            <w:r w:rsidRPr="000F238E">
              <w:rPr>
                <w:rFonts w:eastAsia="mn-ea"/>
                <w:b/>
                <w:bCs/>
                <w:color w:val="000000"/>
                <w:kern w:val="2"/>
                <w:sz w:val="22"/>
                <w:szCs w:val="22"/>
              </w:rPr>
              <w:t>Tình trạng nhược cơ</w:t>
            </w:r>
          </w:p>
        </w:tc>
      </w:tr>
      <w:tr w:rsidR="00924C0F" w:rsidRPr="00B2088E" w:rsidTr="00F17C8E">
        <w:trPr>
          <w:trHeight w:val="353"/>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6F6CC4" w:rsidP="0048225C">
            <w:pPr>
              <w:spacing w:after="0" w:line="240" w:lineRule="auto"/>
              <w:ind w:left="426"/>
              <w:jc w:val="both"/>
              <w:rPr>
                <w:rFonts w:eastAsia="SimSun"/>
                <w:kern w:val="2"/>
                <w:sz w:val="22"/>
                <w:szCs w:val="22"/>
                <w:lang w:eastAsia="zh-CN"/>
              </w:rPr>
            </w:pPr>
            <w:r w:rsidRPr="000F238E">
              <w:rPr>
                <w:rFonts w:eastAsia="mn-ea"/>
                <w:color w:val="000000"/>
                <w:kern w:val="2"/>
                <w:sz w:val="22"/>
                <w:szCs w:val="22"/>
                <w:lang w:eastAsia="zh-CN"/>
              </w:rPr>
              <w:t>Có</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6F6CC4" w:rsidP="0048225C">
            <w:pPr>
              <w:pStyle w:val="NormalWeb"/>
              <w:spacing w:beforeAutospacing="0" w:afterAutospacing="0"/>
              <w:ind w:left="426"/>
              <w:jc w:val="both"/>
              <w:rPr>
                <w:sz w:val="22"/>
                <w:szCs w:val="22"/>
              </w:rPr>
            </w:pPr>
            <w:r w:rsidRPr="000F238E">
              <w:rPr>
                <w:rFonts w:eastAsia="mn-ea"/>
                <w:color w:val="000000"/>
                <w:kern w:val="2"/>
                <w:sz w:val="22"/>
                <w:szCs w:val="22"/>
              </w:rPr>
              <w:t>1 (5%)</w:t>
            </w:r>
          </w:p>
          <w:p w:rsidR="00924C0F" w:rsidRPr="000F238E" w:rsidRDefault="00924C0F" w:rsidP="0048225C">
            <w:pPr>
              <w:pStyle w:val="NormalWeb"/>
              <w:spacing w:beforeAutospacing="0" w:afterAutospacing="0"/>
              <w:ind w:left="426"/>
              <w:jc w:val="both"/>
              <w:rPr>
                <w:kern w:val="2"/>
                <w:sz w:val="22"/>
                <w:szCs w:val="22"/>
              </w:rPr>
            </w:pPr>
          </w:p>
        </w:tc>
      </w:tr>
      <w:tr w:rsidR="00924C0F" w:rsidRPr="00B2088E" w:rsidTr="00F17C8E">
        <w:trPr>
          <w:trHeight w:val="433"/>
        </w:trPr>
        <w:tc>
          <w:tcPr>
            <w:tcW w:w="5270"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6F6CC4" w:rsidP="0048225C">
            <w:pPr>
              <w:tabs>
                <w:tab w:val="left" w:pos="3935"/>
              </w:tabs>
              <w:spacing w:after="0" w:line="240" w:lineRule="auto"/>
              <w:ind w:left="426"/>
              <w:jc w:val="both"/>
              <w:rPr>
                <w:rFonts w:eastAsia="SimSun"/>
                <w:kern w:val="2"/>
                <w:sz w:val="22"/>
                <w:szCs w:val="22"/>
                <w:lang w:eastAsia="zh-CN"/>
              </w:rPr>
            </w:pPr>
            <w:r w:rsidRPr="000F238E">
              <w:rPr>
                <w:rFonts w:eastAsia="mn-ea"/>
                <w:color w:val="000000"/>
                <w:kern w:val="2"/>
                <w:sz w:val="22"/>
                <w:szCs w:val="22"/>
                <w:lang w:eastAsia="zh-CN"/>
              </w:rPr>
              <w:t>Không</w:t>
            </w:r>
          </w:p>
        </w:tc>
        <w:tc>
          <w:tcPr>
            <w:tcW w:w="4086" w:type="dxa"/>
            <w:tcBorders>
              <w:top w:val="single" w:sz="4" w:space="0" w:color="auto"/>
              <w:left w:val="single" w:sz="4" w:space="0" w:color="auto"/>
              <w:bottom w:val="single" w:sz="4" w:space="0" w:color="auto"/>
              <w:right w:val="single" w:sz="4" w:space="0" w:color="auto"/>
            </w:tcBorders>
            <w:shd w:val="clear" w:color="auto" w:fill="auto"/>
            <w:tcMar>
              <w:top w:w="35" w:type="dxa"/>
              <w:left w:w="93" w:type="dxa"/>
              <w:bottom w:w="35" w:type="dxa"/>
              <w:right w:w="93" w:type="dxa"/>
            </w:tcMar>
          </w:tcPr>
          <w:p w:rsidR="00924C0F" w:rsidRPr="000F238E" w:rsidRDefault="006F6CC4" w:rsidP="0048225C">
            <w:pPr>
              <w:pStyle w:val="NormalWeb"/>
              <w:spacing w:beforeAutospacing="0" w:afterAutospacing="0"/>
              <w:ind w:left="426"/>
              <w:jc w:val="both"/>
              <w:rPr>
                <w:sz w:val="22"/>
                <w:szCs w:val="22"/>
              </w:rPr>
            </w:pPr>
            <w:r w:rsidRPr="000F238E">
              <w:rPr>
                <w:rFonts w:eastAsia="mn-ea"/>
                <w:color w:val="000000"/>
                <w:kern w:val="2"/>
                <w:sz w:val="22"/>
                <w:szCs w:val="22"/>
              </w:rPr>
              <w:t>19 (95%)</w:t>
            </w:r>
          </w:p>
          <w:p w:rsidR="00924C0F" w:rsidRPr="000F238E" w:rsidRDefault="00924C0F" w:rsidP="0048225C">
            <w:pPr>
              <w:pStyle w:val="NormalWeb"/>
              <w:spacing w:beforeAutospacing="0" w:afterAutospacing="0"/>
              <w:ind w:left="426"/>
              <w:jc w:val="both"/>
              <w:rPr>
                <w:kern w:val="2"/>
                <w:sz w:val="22"/>
                <w:szCs w:val="22"/>
              </w:rPr>
            </w:pPr>
          </w:p>
        </w:tc>
      </w:tr>
    </w:tbl>
    <w:p w:rsidR="00924C0F" w:rsidRPr="00B2088E" w:rsidRDefault="00613AD8" w:rsidP="0048225C">
      <w:pPr>
        <w:spacing w:after="0" w:line="240" w:lineRule="auto"/>
        <w:ind w:firstLine="426"/>
        <w:jc w:val="both"/>
        <w:rPr>
          <w:rFonts w:eastAsia="Times New Roman"/>
          <w:bCs/>
          <w:iCs/>
          <w:sz w:val="24"/>
          <w:szCs w:val="24"/>
        </w:rPr>
      </w:pPr>
      <w:r w:rsidRPr="00B2088E">
        <w:rPr>
          <w:rFonts w:eastAsia="Times New Roman"/>
          <w:b/>
          <w:iCs/>
          <w:sz w:val="24"/>
          <w:szCs w:val="24"/>
        </w:rPr>
        <w:t>Nhận xét:</w:t>
      </w:r>
      <w:r w:rsidR="000848C3" w:rsidRPr="00B2088E">
        <w:rPr>
          <w:rFonts w:eastAsia="Times New Roman"/>
          <w:b/>
          <w:iCs/>
          <w:sz w:val="24"/>
          <w:szCs w:val="24"/>
        </w:rPr>
        <w:t xml:space="preserve"> </w:t>
      </w:r>
      <w:r w:rsidR="000848C3" w:rsidRPr="00B2088E">
        <w:rPr>
          <w:rFonts w:eastAsia="Times New Roman"/>
          <w:bCs/>
          <w:iCs/>
          <w:sz w:val="24"/>
          <w:szCs w:val="24"/>
        </w:rPr>
        <w:t>Tuổi trung bình các bệnh nhân trong nghiên cứu là 56,4, nam giới chiếm tỉ lệ 75%. Phần lớn bệnh nhân có thể mô bệnh học là Carcinoma vảy (70%). Vị trí di căn hay gặp là màng phổi, xương, phổi. Có 1 bệnh nhân được chẩn đoán như</w:t>
      </w:r>
      <w:r w:rsidR="002B7373" w:rsidRPr="00B2088E">
        <w:rPr>
          <w:rFonts w:eastAsia="Times New Roman"/>
          <w:bCs/>
          <w:iCs/>
          <w:sz w:val="24"/>
          <w:szCs w:val="24"/>
        </w:rPr>
        <w:t>ợ</w:t>
      </w:r>
      <w:r w:rsidR="000848C3" w:rsidRPr="00B2088E">
        <w:rPr>
          <w:rFonts w:eastAsia="Times New Roman"/>
          <w:bCs/>
          <w:iCs/>
          <w:sz w:val="24"/>
          <w:szCs w:val="24"/>
        </w:rPr>
        <w:t>c cơ độ 2 (5%)</w:t>
      </w:r>
    </w:p>
    <w:p w:rsidR="000848C3" w:rsidRPr="00B2088E" w:rsidRDefault="000848C3" w:rsidP="003652AA">
      <w:pPr>
        <w:pStyle w:val="ListParagraph"/>
        <w:numPr>
          <w:ilvl w:val="1"/>
          <w:numId w:val="15"/>
        </w:numPr>
        <w:spacing w:after="0" w:line="240" w:lineRule="auto"/>
        <w:jc w:val="both"/>
        <w:rPr>
          <w:rFonts w:eastAsia="Times New Roman"/>
          <w:b/>
          <w:iCs/>
          <w:sz w:val="24"/>
          <w:szCs w:val="24"/>
        </w:rPr>
      </w:pPr>
      <w:r w:rsidRPr="00B2088E">
        <w:rPr>
          <w:rFonts w:eastAsia="Times New Roman"/>
          <w:b/>
          <w:iCs/>
          <w:sz w:val="24"/>
          <w:szCs w:val="24"/>
        </w:rPr>
        <w:t>Kết quả điều trị</w:t>
      </w:r>
    </w:p>
    <w:p w:rsidR="000848C3" w:rsidRPr="00B2088E" w:rsidRDefault="000848C3" w:rsidP="003652AA">
      <w:pPr>
        <w:pStyle w:val="ListParagraph"/>
        <w:numPr>
          <w:ilvl w:val="2"/>
          <w:numId w:val="15"/>
        </w:numPr>
        <w:spacing w:after="0" w:line="240" w:lineRule="auto"/>
        <w:jc w:val="both"/>
        <w:rPr>
          <w:rFonts w:eastAsia="Times New Roman"/>
          <w:b/>
          <w:iCs/>
          <w:sz w:val="24"/>
          <w:szCs w:val="24"/>
        </w:rPr>
      </w:pPr>
      <w:r w:rsidRPr="00B2088E">
        <w:rPr>
          <w:rFonts w:eastAsia="Times New Roman"/>
          <w:b/>
          <w:iCs/>
          <w:sz w:val="24"/>
          <w:szCs w:val="24"/>
        </w:rPr>
        <w:t>Tỉ lệ đáp ứng chung</w:t>
      </w:r>
    </w:p>
    <w:p w:rsidR="000848C3" w:rsidRPr="00B2088E" w:rsidRDefault="000848C3" w:rsidP="000848C3">
      <w:pPr>
        <w:pStyle w:val="ListParagraph"/>
        <w:spacing w:after="0" w:line="240" w:lineRule="auto"/>
        <w:ind w:left="1080"/>
        <w:jc w:val="both"/>
        <w:rPr>
          <w:rFonts w:eastAsia="Times New Roman"/>
          <w:b/>
          <w:iCs/>
          <w:sz w:val="24"/>
          <w:szCs w:val="24"/>
        </w:rPr>
      </w:pPr>
    </w:p>
    <w:tbl>
      <w:tblPr>
        <w:tblW w:w="9500" w:type="dxa"/>
        <w:tblCellMar>
          <w:left w:w="0" w:type="dxa"/>
          <w:right w:w="0" w:type="dxa"/>
        </w:tblCellMar>
        <w:tblLook w:val="04A0"/>
      </w:tblPr>
      <w:tblGrid>
        <w:gridCol w:w="4100"/>
        <w:gridCol w:w="2423"/>
        <w:gridCol w:w="2977"/>
      </w:tblGrid>
      <w:tr w:rsidR="000848C3" w:rsidRPr="00B2088E" w:rsidTr="008A67BB">
        <w:trPr>
          <w:trHeight w:val="439"/>
        </w:trPr>
        <w:tc>
          <w:tcPr>
            <w:tcW w:w="410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0848C3" w:rsidP="00DA4A19">
            <w:pPr>
              <w:spacing w:after="0" w:line="240" w:lineRule="auto"/>
              <w:ind w:leftChars="-100" w:left="-280"/>
              <w:jc w:val="center"/>
              <w:rPr>
                <w:rFonts w:eastAsia="Times New Roman"/>
                <w:b/>
                <w:sz w:val="22"/>
                <w:szCs w:val="22"/>
              </w:rPr>
            </w:pPr>
            <w:r w:rsidRPr="000F238E">
              <w:rPr>
                <w:rFonts w:eastAsia="Times New Roman"/>
                <w:b/>
                <w:bCs/>
                <w:sz w:val="22"/>
                <w:szCs w:val="22"/>
              </w:rPr>
              <w:t>Đáp ứng</w:t>
            </w:r>
          </w:p>
        </w:tc>
        <w:tc>
          <w:tcPr>
            <w:tcW w:w="242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0848C3" w:rsidP="00DA4A19">
            <w:pPr>
              <w:spacing w:after="0" w:line="240" w:lineRule="auto"/>
              <w:ind w:leftChars="-100" w:left="-280"/>
              <w:jc w:val="center"/>
              <w:rPr>
                <w:rFonts w:eastAsia="Times New Roman"/>
                <w:b/>
                <w:sz w:val="22"/>
                <w:szCs w:val="22"/>
              </w:rPr>
            </w:pPr>
            <w:r w:rsidRPr="000F238E">
              <w:rPr>
                <w:rFonts w:eastAsia="Times New Roman"/>
                <w:b/>
                <w:bCs/>
                <w:sz w:val="22"/>
                <w:szCs w:val="22"/>
              </w:rPr>
              <w:t>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0848C3" w:rsidP="00DA4A19">
            <w:pPr>
              <w:spacing w:after="0" w:line="240" w:lineRule="auto"/>
              <w:ind w:leftChars="-100" w:left="-280"/>
              <w:jc w:val="center"/>
              <w:rPr>
                <w:rFonts w:eastAsia="Times New Roman"/>
                <w:b/>
                <w:sz w:val="22"/>
                <w:szCs w:val="22"/>
              </w:rPr>
            </w:pPr>
            <w:r w:rsidRPr="000F238E">
              <w:rPr>
                <w:rFonts w:eastAsia="Times New Roman"/>
                <w:b/>
                <w:bCs/>
                <w:sz w:val="22"/>
                <w:szCs w:val="22"/>
              </w:rPr>
              <w:t>%</w:t>
            </w:r>
          </w:p>
        </w:tc>
      </w:tr>
      <w:tr w:rsidR="000848C3" w:rsidRPr="00B2088E" w:rsidTr="008A67BB">
        <w:trPr>
          <w:trHeight w:val="411"/>
        </w:trPr>
        <w:tc>
          <w:tcPr>
            <w:tcW w:w="410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0848C3" w:rsidP="00DA4A19">
            <w:pPr>
              <w:spacing w:after="0" w:line="240" w:lineRule="auto"/>
              <w:ind w:leftChars="-100" w:left="-280"/>
              <w:jc w:val="center"/>
              <w:rPr>
                <w:rFonts w:eastAsia="Times New Roman"/>
                <w:b/>
                <w:sz w:val="22"/>
                <w:szCs w:val="22"/>
              </w:rPr>
            </w:pPr>
            <w:r w:rsidRPr="000F238E">
              <w:rPr>
                <w:rFonts w:eastAsia="Times New Roman"/>
                <w:b/>
                <w:sz w:val="22"/>
                <w:szCs w:val="22"/>
              </w:rPr>
              <w:t>Đáp ứng hoàn toàn</w:t>
            </w:r>
          </w:p>
        </w:tc>
        <w:tc>
          <w:tcPr>
            <w:tcW w:w="242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80553F" w:rsidP="00DA4A19">
            <w:pPr>
              <w:spacing w:after="0" w:line="240" w:lineRule="auto"/>
              <w:ind w:leftChars="-100" w:left="-280"/>
              <w:jc w:val="center"/>
              <w:rPr>
                <w:rFonts w:eastAsia="Times New Roman"/>
                <w:b/>
                <w:sz w:val="22"/>
                <w:szCs w:val="22"/>
              </w:rPr>
            </w:pPr>
            <w:r w:rsidRPr="000F238E">
              <w:rPr>
                <w:rFonts w:eastAsia="Times New Roman"/>
                <w:b/>
                <w:sz w:val="22"/>
                <w:szCs w:val="22"/>
              </w:rPr>
              <w:t>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80553F" w:rsidP="00DA4A19">
            <w:pPr>
              <w:spacing w:after="0" w:line="240" w:lineRule="auto"/>
              <w:ind w:leftChars="-100" w:left="-280"/>
              <w:jc w:val="center"/>
              <w:rPr>
                <w:rFonts w:eastAsia="Times New Roman"/>
                <w:b/>
                <w:sz w:val="22"/>
                <w:szCs w:val="22"/>
              </w:rPr>
            </w:pPr>
            <w:r w:rsidRPr="000F238E">
              <w:rPr>
                <w:rFonts w:eastAsia="Times New Roman"/>
                <w:b/>
                <w:sz w:val="22"/>
                <w:szCs w:val="22"/>
              </w:rPr>
              <w:t>0</w:t>
            </w:r>
          </w:p>
        </w:tc>
      </w:tr>
      <w:tr w:rsidR="000848C3" w:rsidRPr="00B2088E" w:rsidTr="008A67BB">
        <w:trPr>
          <w:trHeight w:val="190"/>
        </w:trPr>
        <w:tc>
          <w:tcPr>
            <w:tcW w:w="410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0848C3" w:rsidP="00DA4A19">
            <w:pPr>
              <w:spacing w:after="0" w:line="240" w:lineRule="auto"/>
              <w:ind w:leftChars="-100" w:left="-280"/>
              <w:jc w:val="center"/>
              <w:rPr>
                <w:rFonts w:eastAsia="Times New Roman"/>
                <w:b/>
                <w:sz w:val="22"/>
                <w:szCs w:val="22"/>
              </w:rPr>
            </w:pPr>
            <w:r w:rsidRPr="000F238E">
              <w:rPr>
                <w:rFonts w:eastAsia="Times New Roman"/>
                <w:b/>
                <w:sz w:val="22"/>
                <w:szCs w:val="22"/>
              </w:rPr>
              <w:t>Đáp ứng một phần</w:t>
            </w:r>
          </w:p>
        </w:tc>
        <w:tc>
          <w:tcPr>
            <w:tcW w:w="242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80553F" w:rsidP="00DA4A19">
            <w:pPr>
              <w:spacing w:after="0" w:line="240" w:lineRule="auto"/>
              <w:ind w:leftChars="-100" w:left="-280"/>
              <w:jc w:val="center"/>
              <w:rPr>
                <w:rFonts w:eastAsia="Times New Roman"/>
                <w:b/>
                <w:sz w:val="22"/>
                <w:szCs w:val="22"/>
              </w:rPr>
            </w:pPr>
            <w:r w:rsidRPr="000F238E">
              <w:rPr>
                <w:rFonts w:eastAsia="Times New Roman"/>
                <w:b/>
                <w:sz w:val="22"/>
                <w:szCs w:val="22"/>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80553F" w:rsidP="00DA4A19">
            <w:pPr>
              <w:spacing w:after="0" w:line="240" w:lineRule="auto"/>
              <w:ind w:leftChars="-100" w:left="-280"/>
              <w:jc w:val="center"/>
              <w:rPr>
                <w:rFonts w:eastAsia="Times New Roman"/>
                <w:b/>
                <w:sz w:val="22"/>
                <w:szCs w:val="22"/>
              </w:rPr>
            </w:pPr>
            <w:r w:rsidRPr="000F238E">
              <w:rPr>
                <w:rFonts w:eastAsia="Times New Roman"/>
                <w:b/>
                <w:sz w:val="22"/>
                <w:szCs w:val="22"/>
              </w:rPr>
              <w:t>45</w:t>
            </w:r>
          </w:p>
        </w:tc>
      </w:tr>
      <w:tr w:rsidR="000848C3" w:rsidRPr="00B2088E" w:rsidTr="008A67BB">
        <w:trPr>
          <w:trHeight w:val="211"/>
        </w:trPr>
        <w:tc>
          <w:tcPr>
            <w:tcW w:w="410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0848C3" w:rsidP="00DA4A19">
            <w:pPr>
              <w:spacing w:after="0" w:line="240" w:lineRule="auto"/>
              <w:ind w:leftChars="-100" w:left="-280"/>
              <w:jc w:val="center"/>
              <w:rPr>
                <w:rFonts w:eastAsia="Times New Roman"/>
                <w:b/>
                <w:sz w:val="22"/>
                <w:szCs w:val="22"/>
              </w:rPr>
            </w:pPr>
            <w:r w:rsidRPr="000F238E">
              <w:rPr>
                <w:rFonts w:eastAsia="Times New Roman"/>
                <w:b/>
                <w:sz w:val="22"/>
                <w:szCs w:val="22"/>
              </w:rPr>
              <w:t>Bệnh ổn định</w:t>
            </w:r>
          </w:p>
        </w:tc>
        <w:tc>
          <w:tcPr>
            <w:tcW w:w="242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80553F" w:rsidP="00DA4A19">
            <w:pPr>
              <w:spacing w:after="0" w:line="240" w:lineRule="auto"/>
              <w:ind w:leftChars="-100" w:left="-280"/>
              <w:jc w:val="center"/>
              <w:rPr>
                <w:rFonts w:eastAsia="Times New Roman"/>
                <w:b/>
                <w:sz w:val="22"/>
                <w:szCs w:val="22"/>
              </w:rPr>
            </w:pPr>
            <w:r w:rsidRPr="000F238E">
              <w:rPr>
                <w:rFonts w:eastAsia="Times New Roman"/>
                <w:b/>
                <w:sz w:val="22"/>
                <w:szCs w:val="22"/>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80553F" w:rsidP="00DA4A19">
            <w:pPr>
              <w:spacing w:after="0" w:line="240" w:lineRule="auto"/>
              <w:ind w:leftChars="-100" w:left="-280"/>
              <w:jc w:val="center"/>
              <w:rPr>
                <w:rFonts w:eastAsia="Times New Roman"/>
                <w:b/>
                <w:sz w:val="22"/>
                <w:szCs w:val="22"/>
              </w:rPr>
            </w:pPr>
            <w:r w:rsidRPr="000F238E">
              <w:rPr>
                <w:rFonts w:eastAsia="Times New Roman"/>
                <w:b/>
                <w:sz w:val="22"/>
                <w:szCs w:val="22"/>
              </w:rPr>
              <w:t>30</w:t>
            </w:r>
          </w:p>
        </w:tc>
      </w:tr>
      <w:tr w:rsidR="000848C3" w:rsidRPr="00B2088E" w:rsidTr="008A67BB">
        <w:trPr>
          <w:trHeight w:val="421"/>
        </w:trPr>
        <w:tc>
          <w:tcPr>
            <w:tcW w:w="410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0848C3" w:rsidP="00DA4A19">
            <w:pPr>
              <w:spacing w:after="0" w:line="240" w:lineRule="auto"/>
              <w:ind w:leftChars="-100" w:left="-280"/>
              <w:jc w:val="center"/>
              <w:rPr>
                <w:rFonts w:eastAsia="Times New Roman"/>
                <w:b/>
                <w:sz w:val="22"/>
                <w:szCs w:val="22"/>
              </w:rPr>
            </w:pPr>
            <w:r w:rsidRPr="000F238E">
              <w:rPr>
                <w:rFonts w:eastAsia="Times New Roman"/>
                <w:b/>
                <w:sz w:val="22"/>
                <w:szCs w:val="22"/>
              </w:rPr>
              <w:t>Bệnh tiến triển</w:t>
            </w:r>
          </w:p>
        </w:tc>
        <w:tc>
          <w:tcPr>
            <w:tcW w:w="242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80553F" w:rsidP="00DA4A19">
            <w:pPr>
              <w:spacing w:after="0" w:line="240" w:lineRule="auto"/>
              <w:ind w:leftChars="-100" w:left="-280"/>
              <w:jc w:val="center"/>
              <w:rPr>
                <w:rFonts w:eastAsia="Times New Roman"/>
                <w:b/>
                <w:sz w:val="22"/>
                <w:szCs w:val="22"/>
              </w:rPr>
            </w:pPr>
            <w:r w:rsidRPr="000F238E">
              <w:rPr>
                <w:rFonts w:eastAsia="Times New Roman"/>
                <w:b/>
                <w:sz w:val="22"/>
                <w:szCs w:val="22"/>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80553F" w:rsidP="00DA4A19">
            <w:pPr>
              <w:spacing w:after="0" w:line="240" w:lineRule="auto"/>
              <w:ind w:leftChars="-100" w:left="-280"/>
              <w:jc w:val="center"/>
              <w:rPr>
                <w:rFonts w:eastAsia="Times New Roman"/>
                <w:b/>
                <w:sz w:val="22"/>
                <w:szCs w:val="22"/>
              </w:rPr>
            </w:pPr>
            <w:r w:rsidRPr="000F238E">
              <w:rPr>
                <w:rFonts w:eastAsia="Times New Roman"/>
                <w:b/>
                <w:sz w:val="22"/>
                <w:szCs w:val="22"/>
              </w:rPr>
              <w:t>25</w:t>
            </w:r>
          </w:p>
        </w:tc>
      </w:tr>
      <w:tr w:rsidR="000848C3" w:rsidRPr="00B2088E" w:rsidTr="008A67BB">
        <w:trPr>
          <w:trHeight w:val="415"/>
        </w:trPr>
        <w:tc>
          <w:tcPr>
            <w:tcW w:w="410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0848C3" w:rsidP="00DA4A19">
            <w:pPr>
              <w:spacing w:after="0" w:line="240" w:lineRule="auto"/>
              <w:ind w:leftChars="-100" w:left="-280"/>
              <w:jc w:val="center"/>
              <w:rPr>
                <w:rFonts w:eastAsia="Times New Roman"/>
                <w:b/>
                <w:sz w:val="22"/>
                <w:szCs w:val="22"/>
              </w:rPr>
            </w:pPr>
            <w:r w:rsidRPr="000F238E">
              <w:rPr>
                <w:rFonts w:eastAsia="Times New Roman"/>
                <w:b/>
                <w:bCs/>
                <w:sz w:val="22"/>
                <w:szCs w:val="22"/>
              </w:rPr>
              <w:t>ORR (%)</w:t>
            </w:r>
          </w:p>
        </w:tc>
        <w:tc>
          <w:tcPr>
            <w:tcW w:w="5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80553F" w:rsidP="00DA4A19">
            <w:pPr>
              <w:spacing w:after="0" w:line="240" w:lineRule="auto"/>
              <w:ind w:leftChars="-100" w:left="-280"/>
              <w:jc w:val="center"/>
              <w:rPr>
                <w:rFonts w:eastAsia="Times New Roman"/>
                <w:b/>
                <w:sz w:val="22"/>
                <w:szCs w:val="22"/>
              </w:rPr>
            </w:pPr>
            <w:r w:rsidRPr="000F238E">
              <w:rPr>
                <w:rFonts w:eastAsia="Times New Roman"/>
                <w:b/>
                <w:bCs/>
                <w:sz w:val="22"/>
                <w:szCs w:val="22"/>
              </w:rPr>
              <w:t>45</w:t>
            </w:r>
            <w:r w:rsidR="000848C3" w:rsidRPr="000F238E">
              <w:rPr>
                <w:rFonts w:eastAsia="Times New Roman"/>
                <w:b/>
                <w:bCs/>
                <w:sz w:val="22"/>
                <w:szCs w:val="22"/>
              </w:rPr>
              <w:t>%</w:t>
            </w:r>
          </w:p>
        </w:tc>
      </w:tr>
      <w:tr w:rsidR="000848C3" w:rsidRPr="00B2088E" w:rsidTr="008A67BB">
        <w:trPr>
          <w:trHeight w:val="409"/>
        </w:trPr>
        <w:tc>
          <w:tcPr>
            <w:tcW w:w="410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0848C3" w:rsidP="00DA4A19">
            <w:pPr>
              <w:spacing w:after="0" w:line="240" w:lineRule="auto"/>
              <w:ind w:leftChars="-100" w:left="-280"/>
              <w:jc w:val="center"/>
              <w:rPr>
                <w:rFonts w:eastAsia="Times New Roman"/>
                <w:b/>
                <w:sz w:val="22"/>
                <w:szCs w:val="22"/>
              </w:rPr>
            </w:pPr>
            <w:r w:rsidRPr="000F238E">
              <w:rPr>
                <w:rFonts w:eastAsia="Times New Roman"/>
                <w:b/>
                <w:sz w:val="22"/>
                <w:szCs w:val="22"/>
              </w:rPr>
              <w:t>DCR (%)</w:t>
            </w:r>
          </w:p>
        </w:tc>
        <w:tc>
          <w:tcPr>
            <w:tcW w:w="5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848C3" w:rsidRPr="000F238E" w:rsidRDefault="0080553F" w:rsidP="00DA4A19">
            <w:pPr>
              <w:spacing w:after="0" w:line="240" w:lineRule="auto"/>
              <w:ind w:leftChars="-100" w:left="-280"/>
              <w:jc w:val="center"/>
              <w:rPr>
                <w:rFonts w:eastAsia="Times New Roman"/>
                <w:b/>
                <w:sz w:val="22"/>
                <w:szCs w:val="22"/>
              </w:rPr>
            </w:pPr>
            <w:r w:rsidRPr="000F238E">
              <w:rPr>
                <w:rFonts w:eastAsia="Times New Roman"/>
                <w:b/>
                <w:sz w:val="22"/>
                <w:szCs w:val="22"/>
              </w:rPr>
              <w:t>75</w:t>
            </w:r>
            <w:r w:rsidR="000848C3" w:rsidRPr="000F238E">
              <w:rPr>
                <w:rFonts w:eastAsia="Times New Roman"/>
                <w:b/>
                <w:sz w:val="22"/>
                <w:szCs w:val="22"/>
              </w:rPr>
              <w:t>%</w:t>
            </w:r>
          </w:p>
        </w:tc>
      </w:tr>
    </w:tbl>
    <w:p w:rsidR="000848C3" w:rsidRPr="00B2088E" w:rsidRDefault="0080553F" w:rsidP="0080553F">
      <w:pPr>
        <w:spacing w:after="0" w:line="240" w:lineRule="auto"/>
        <w:jc w:val="both"/>
        <w:rPr>
          <w:rFonts w:eastAsia="Times New Roman"/>
          <w:color w:val="000000" w:themeColor="text1"/>
          <w:sz w:val="24"/>
          <w:szCs w:val="24"/>
          <w:lang w:val="nl-NL"/>
        </w:rPr>
      </w:pPr>
      <w:r w:rsidRPr="00B2088E">
        <w:rPr>
          <w:rFonts w:eastAsia="Times New Roman"/>
          <w:b/>
          <w:color w:val="000000" w:themeColor="text1"/>
          <w:sz w:val="24"/>
          <w:szCs w:val="24"/>
          <w:lang w:val="pt-BR"/>
        </w:rPr>
        <w:t xml:space="preserve">Nhận xét: </w:t>
      </w:r>
      <w:r w:rsidRPr="00B2088E">
        <w:rPr>
          <w:rFonts w:eastAsia="Times New Roman"/>
          <w:color w:val="000000" w:themeColor="text1"/>
          <w:sz w:val="24"/>
          <w:szCs w:val="24"/>
          <w:lang w:val="pt-BR"/>
        </w:rPr>
        <w:t xml:space="preserve">Tỷ lệ đáp ứng một phần là </w:t>
      </w:r>
      <w:r w:rsidR="003909D8" w:rsidRPr="00B2088E">
        <w:rPr>
          <w:rFonts w:eastAsia="Times New Roman"/>
          <w:color w:val="000000" w:themeColor="text1"/>
          <w:sz w:val="24"/>
          <w:szCs w:val="24"/>
          <w:lang w:val="pt-BR"/>
        </w:rPr>
        <w:t>45</w:t>
      </w:r>
      <w:r w:rsidRPr="00B2088E">
        <w:rPr>
          <w:rFonts w:eastAsia="Times New Roman"/>
          <w:color w:val="000000" w:themeColor="text1"/>
          <w:sz w:val="24"/>
          <w:szCs w:val="24"/>
          <w:lang w:val="pt-BR"/>
        </w:rPr>
        <w:t xml:space="preserve">%, bệnh ổn định là </w:t>
      </w:r>
      <w:r w:rsidR="003909D8" w:rsidRPr="00B2088E">
        <w:rPr>
          <w:rFonts w:eastAsia="Times New Roman"/>
          <w:color w:val="000000" w:themeColor="text1"/>
          <w:sz w:val="24"/>
          <w:szCs w:val="24"/>
          <w:lang w:val="pt-BR"/>
        </w:rPr>
        <w:t>30</w:t>
      </w:r>
      <w:r w:rsidRPr="00B2088E">
        <w:rPr>
          <w:rFonts w:eastAsia="Times New Roman"/>
          <w:color w:val="000000" w:themeColor="text1"/>
          <w:sz w:val="24"/>
          <w:szCs w:val="24"/>
          <w:lang w:val="pt-BR"/>
        </w:rPr>
        <w:t>%</w:t>
      </w:r>
      <w:r w:rsidRPr="00B2088E">
        <w:rPr>
          <w:rFonts w:eastAsia="Times New Roman"/>
          <w:color w:val="000000" w:themeColor="text1"/>
          <w:sz w:val="24"/>
          <w:szCs w:val="24"/>
          <w:lang w:val="nl-NL"/>
        </w:rPr>
        <w:t xml:space="preserve">, có  </w:t>
      </w:r>
      <w:r w:rsidR="003909D8" w:rsidRPr="00B2088E">
        <w:rPr>
          <w:rFonts w:eastAsia="Times New Roman"/>
          <w:color w:val="000000" w:themeColor="text1"/>
          <w:sz w:val="24"/>
          <w:szCs w:val="24"/>
          <w:lang w:val="nl-NL"/>
        </w:rPr>
        <w:t>5</w:t>
      </w:r>
      <w:r w:rsidRPr="00B2088E">
        <w:rPr>
          <w:rFonts w:eastAsia="Times New Roman"/>
          <w:color w:val="000000" w:themeColor="text1"/>
          <w:sz w:val="24"/>
          <w:szCs w:val="24"/>
          <w:lang w:val="nl-NL"/>
        </w:rPr>
        <w:t xml:space="preserve"> trường hợp tiến triển (</w:t>
      </w:r>
      <w:r w:rsidR="003909D8" w:rsidRPr="00B2088E">
        <w:rPr>
          <w:rFonts w:eastAsia="Times New Roman"/>
          <w:color w:val="000000" w:themeColor="text1"/>
          <w:sz w:val="24"/>
          <w:szCs w:val="24"/>
          <w:lang w:val="nl-NL"/>
        </w:rPr>
        <w:t>25</w:t>
      </w:r>
      <w:r w:rsidRPr="00B2088E">
        <w:rPr>
          <w:rFonts w:eastAsia="Times New Roman"/>
          <w:color w:val="000000" w:themeColor="text1"/>
          <w:sz w:val="24"/>
          <w:szCs w:val="24"/>
          <w:lang w:val="nl-NL"/>
        </w:rPr>
        <w:t xml:space="preserve">%). Tỷ lệ đáp ứng </w:t>
      </w:r>
      <w:r w:rsidR="003909D8" w:rsidRPr="00B2088E">
        <w:rPr>
          <w:rFonts w:eastAsia="Times New Roman"/>
          <w:color w:val="000000" w:themeColor="text1"/>
          <w:sz w:val="24"/>
          <w:szCs w:val="24"/>
          <w:lang w:val="nl-NL"/>
        </w:rPr>
        <w:t xml:space="preserve">chung </w:t>
      </w:r>
      <w:r w:rsidRPr="00B2088E">
        <w:rPr>
          <w:rFonts w:eastAsia="Times New Roman"/>
          <w:color w:val="000000" w:themeColor="text1"/>
          <w:sz w:val="24"/>
          <w:szCs w:val="24"/>
          <w:lang w:val="nl-NL"/>
        </w:rPr>
        <w:t xml:space="preserve">là </w:t>
      </w:r>
      <w:r w:rsidR="003909D8" w:rsidRPr="00B2088E">
        <w:rPr>
          <w:rFonts w:eastAsia="Times New Roman"/>
          <w:color w:val="000000" w:themeColor="text1"/>
          <w:sz w:val="24"/>
          <w:szCs w:val="24"/>
          <w:lang w:val="nl-NL"/>
        </w:rPr>
        <w:t>45</w:t>
      </w:r>
      <w:r w:rsidRPr="00B2088E">
        <w:rPr>
          <w:rFonts w:eastAsia="Times New Roman"/>
          <w:color w:val="000000" w:themeColor="text1"/>
          <w:sz w:val="24"/>
          <w:szCs w:val="24"/>
          <w:lang w:val="nl-NL"/>
        </w:rPr>
        <w:t xml:space="preserve">%,. Tỷ lệ kiểm soát bệnh ( đáp ứng một phần, bệnh ổn định) là </w:t>
      </w:r>
      <w:r w:rsidR="003909D8" w:rsidRPr="00B2088E">
        <w:rPr>
          <w:rFonts w:eastAsia="Times New Roman"/>
          <w:color w:val="000000" w:themeColor="text1"/>
          <w:sz w:val="24"/>
          <w:szCs w:val="24"/>
          <w:lang w:val="nl-NL"/>
        </w:rPr>
        <w:t>75</w:t>
      </w:r>
      <w:r w:rsidRPr="00B2088E">
        <w:rPr>
          <w:rFonts w:eastAsia="Times New Roman"/>
          <w:color w:val="000000" w:themeColor="text1"/>
          <w:sz w:val="24"/>
          <w:szCs w:val="24"/>
          <w:lang w:val="nl-NL"/>
        </w:rPr>
        <w:t>%.</w:t>
      </w:r>
    </w:p>
    <w:p w:rsidR="00624D16" w:rsidRPr="00B2088E" w:rsidRDefault="00624D16" w:rsidP="003652AA">
      <w:pPr>
        <w:pStyle w:val="ListParagraph"/>
        <w:numPr>
          <w:ilvl w:val="2"/>
          <w:numId w:val="15"/>
        </w:numPr>
        <w:spacing w:after="0" w:line="240" w:lineRule="auto"/>
        <w:jc w:val="both"/>
        <w:rPr>
          <w:rFonts w:eastAsia="Times New Roman"/>
          <w:b/>
          <w:iCs/>
          <w:sz w:val="24"/>
          <w:szCs w:val="24"/>
        </w:rPr>
      </w:pPr>
      <w:r w:rsidRPr="00B2088E">
        <w:rPr>
          <w:rFonts w:eastAsia="Times New Roman"/>
          <w:b/>
          <w:iCs/>
          <w:sz w:val="24"/>
          <w:szCs w:val="24"/>
        </w:rPr>
        <w:lastRenderedPageBreak/>
        <w:t>Thời gian sống thêm bệnh không tiến triển</w:t>
      </w:r>
    </w:p>
    <w:p w:rsidR="00C570F9" w:rsidRPr="00B2088E" w:rsidRDefault="00CE4D53" w:rsidP="00C570F9">
      <w:pPr>
        <w:autoSpaceDE w:val="0"/>
        <w:autoSpaceDN w:val="0"/>
        <w:adjustRightInd w:val="0"/>
        <w:spacing w:after="0" w:line="240" w:lineRule="auto"/>
        <w:rPr>
          <w:rFonts w:eastAsiaTheme="minorHAnsi"/>
          <w:sz w:val="24"/>
          <w:szCs w:val="24"/>
        </w:rPr>
      </w:pPr>
      <w:r>
        <w:fldChar w:fldCharType="begin"/>
      </w:r>
      <w:r w:rsidR="00177D3D">
        <w:instrText xml:space="preserve"> INCLUDEPICTURE "http://127.0.0.1:9591/chunk_output/0F28B9E2bd3ea120/2AF077E8/ctfok93eqr00y/00002b.png"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fldChar w:fldCharType="end"/>
      </w:r>
      <w:r w:rsidR="00177D3D">
        <w:rPr>
          <w:rFonts w:eastAsiaTheme="minorHAnsi"/>
          <w:noProof/>
          <w:sz w:val="24"/>
          <w:szCs w:val="24"/>
        </w:rPr>
        <w:drawing>
          <wp:inline distT="0" distB="0" distL="0" distR="0">
            <wp:extent cx="5639090" cy="3479979"/>
            <wp:effectExtent l="0" t="0" r="0" b="0"/>
            <wp:docPr id="1737476031"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76031" name="Picture 1" descr="A graph with numbers and lines&#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39090" cy="3479979"/>
                    </a:xfrm>
                    <a:prstGeom prst="rect">
                      <a:avLst/>
                    </a:prstGeom>
                  </pic:spPr>
                </pic:pic>
              </a:graphicData>
            </a:graphic>
          </wp:inline>
        </w:drawing>
      </w:r>
    </w:p>
    <w:p w:rsidR="00624D16" w:rsidRPr="00B2088E" w:rsidRDefault="00C570F9" w:rsidP="00624D16">
      <w:pPr>
        <w:spacing w:after="0" w:line="240" w:lineRule="auto"/>
        <w:ind w:left="360"/>
        <w:jc w:val="both"/>
        <w:rPr>
          <w:rFonts w:eastAsia="Times New Roman"/>
          <w:color w:val="000000" w:themeColor="text1"/>
          <w:sz w:val="24"/>
          <w:szCs w:val="24"/>
          <w:lang w:val="nl-NL"/>
        </w:rPr>
      </w:pPr>
      <w:r w:rsidRPr="00B2088E">
        <w:rPr>
          <w:rFonts w:eastAsia="Times New Roman"/>
          <w:bCs/>
          <w:iCs/>
          <w:sz w:val="24"/>
          <w:szCs w:val="24"/>
        </w:rPr>
        <w:t xml:space="preserve">Nhận xét: </w:t>
      </w:r>
      <w:r w:rsidR="006C2D99" w:rsidRPr="00B2088E">
        <w:rPr>
          <w:rFonts w:eastAsia="Times New Roman"/>
          <w:color w:val="000000" w:themeColor="text1"/>
          <w:sz w:val="24"/>
          <w:szCs w:val="24"/>
          <w:lang w:val="nl-NL"/>
        </w:rPr>
        <w:t>Theo dõi trung vị 1</w:t>
      </w:r>
      <w:r w:rsidR="00267238" w:rsidRPr="00B2088E">
        <w:rPr>
          <w:rFonts w:eastAsia="Times New Roman"/>
          <w:color w:val="000000" w:themeColor="text1"/>
          <w:sz w:val="24"/>
          <w:szCs w:val="24"/>
          <w:lang w:val="nl-NL"/>
        </w:rPr>
        <w:t>5,6</w:t>
      </w:r>
      <w:r w:rsidR="006C2D99" w:rsidRPr="00B2088E">
        <w:rPr>
          <w:rFonts w:eastAsia="Times New Roman"/>
          <w:color w:val="000000" w:themeColor="text1"/>
          <w:sz w:val="24"/>
          <w:szCs w:val="24"/>
          <w:lang w:val="nl-NL"/>
        </w:rPr>
        <w:t xml:space="preserve"> tháng, thời gian sống thêm bệnh không tiến triển </w:t>
      </w:r>
      <w:r w:rsidR="00267238" w:rsidRPr="00B2088E">
        <w:rPr>
          <w:rFonts w:eastAsia="Times New Roman"/>
          <w:color w:val="000000" w:themeColor="text1"/>
          <w:sz w:val="24"/>
          <w:szCs w:val="24"/>
          <w:lang w:val="nl-NL"/>
        </w:rPr>
        <w:t>8,7 tháng.</w:t>
      </w:r>
    </w:p>
    <w:p w:rsidR="00267238" w:rsidRPr="00B2088E" w:rsidRDefault="00267238" w:rsidP="003652AA">
      <w:pPr>
        <w:pStyle w:val="ListParagraph"/>
        <w:numPr>
          <w:ilvl w:val="2"/>
          <w:numId w:val="15"/>
        </w:numPr>
        <w:spacing w:after="0" w:line="240" w:lineRule="auto"/>
        <w:jc w:val="both"/>
        <w:rPr>
          <w:rFonts w:eastAsia="Times New Roman"/>
          <w:b/>
          <w:iCs/>
          <w:sz w:val="24"/>
          <w:szCs w:val="24"/>
        </w:rPr>
      </w:pPr>
      <w:r w:rsidRPr="00B2088E">
        <w:rPr>
          <w:rFonts w:eastAsia="Times New Roman"/>
          <w:b/>
          <w:iCs/>
          <w:sz w:val="24"/>
          <w:szCs w:val="24"/>
        </w:rPr>
        <w:t>Tác dụng không mong muốn của phác đồ</w:t>
      </w:r>
    </w:p>
    <w:p w:rsidR="00267238" w:rsidRPr="00B2088E" w:rsidRDefault="00267238" w:rsidP="00267238">
      <w:pPr>
        <w:spacing w:after="0" w:line="240" w:lineRule="auto"/>
        <w:ind w:left="360"/>
        <w:jc w:val="both"/>
        <w:rPr>
          <w:rFonts w:eastAsia="Times New Roman"/>
          <w:bCs/>
          <w:iCs/>
          <w:sz w:val="24"/>
          <w:szCs w:val="24"/>
        </w:rPr>
      </w:pPr>
    </w:p>
    <w:p w:rsidR="007D545F" w:rsidRPr="00B2088E" w:rsidRDefault="007D545F" w:rsidP="00267238">
      <w:pPr>
        <w:spacing w:after="0" w:line="240" w:lineRule="auto"/>
        <w:ind w:left="360"/>
        <w:jc w:val="both"/>
        <w:rPr>
          <w:rFonts w:eastAsia="Times New Roman"/>
          <w:bCs/>
          <w:iCs/>
          <w:sz w:val="24"/>
          <w:szCs w:val="24"/>
        </w:rPr>
      </w:pPr>
      <w:r w:rsidRPr="00B2088E">
        <w:rPr>
          <w:rFonts w:eastAsia="Times New Roman"/>
          <w:bCs/>
          <w:iCs/>
          <w:sz w:val="24"/>
          <w:szCs w:val="24"/>
        </w:rPr>
        <w:t xml:space="preserve"> </w:t>
      </w:r>
    </w:p>
    <w:tbl>
      <w:tblPr>
        <w:tblStyle w:val="5"/>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0"/>
        <w:gridCol w:w="1501"/>
        <w:gridCol w:w="1417"/>
        <w:gridCol w:w="1258"/>
        <w:gridCol w:w="1226"/>
        <w:gridCol w:w="1178"/>
      </w:tblGrid>
      <w:tr w:rsidR="007D545F" w:rsidRPr="00B2088E" w:rsidTr="009E4F94">
        <w:trPr>
          <w:trHeight w:val="439"/>
          <w:jc w:val="center"/>
        </w:trPr>
        <w:tc>
          <w:tcPr>
            <w:tcW w:w="2720" w:type="dxa"/>
            <w:vMerge w:val="restart"/>
            <w:shd w:val="clear" w:color="auto" w:fill="auto"/>
          </w:tcPr>
          <w:p w:rsidR="007D545F" w:rsidRPr="000F238E" w:rsidRDefault="007D545F" w:rsidP="007D545F">
            <w:pPr>
              <w:pStyle w:val="Normal1"/>
              <w:widowControl w:val="0"/>
              <w:spacing w:after="0" w:line="240" w:lineRule="auto"/>
              <w:jc w:val="both"/>
              <w:rPr>
                <w:b/>
                <w:color w:val="auto"/>
                <w:sz w:val="22"/>
                <w:szCs w:val="22"/>
              </w:rPr>
            </w:pPr>
            <w:r w:rsidRPr="000F238E">
              <w:rPr>
                <w:b/>
                <w:color w:val="auto"/>
                <w:sz w:val="22"/>
                <w:szCs w:val="22"/>
              </w:rPr>
              <w:t>Độc tính</w:t>
            </w:r>
          </w:p>
        </w:tc>
        <w:tc>
          <w:tcPr>
            <w:tcW w:w="6580" w:type="dxa"/>
            <w:gridSpan w:val="5"/>
            <w:shd w:val="clear" w:color="auto" w:fill="auto"/>
          </w:tcPr>
          <w:p w:rsidR="007D545F" w:rsidRPr="000F238E" w:rsidRDefault="007D545F" w:rsidP="007D545F">
            <w:pPr>
              <w:pStyle w:val="Normal1"/>
              <w:widowControl w:val="0"/>
              <w:spacing w:after="0" w:line="240" w:lineRule="auto"/>
              <w:jc w:val="center"/>
              <w:rPr>
                <w:b/>
                <w:color w:val="auto"/>
                <w:sz w:val="22"/>
                <w:szCs w:val="22"/>
                <w:lang w:val="en-US"/>
              </w:rPr>
            </w:pPr>
            <w:r w:rsidRPr="000F238E">
              <w:rPr>
                <w:b/>
                <w:color w:val="auto"/>
                <w:sz w:val="22"/>
                <w:szCs w:val="22"/>
                <w:lang w:val="en-US"/>
              </w:rPr>
              <w:t>Tác dụng không mong muốn (%)</w:t>
            </w:r>
          </w:p>
        </w:tc>
      </w:tr>
      <w:tr w:rsidR="007D545F" w:rsidRPr="00B2088E" w:rsidTr="009E4F94">
        <w:trPr>
          <w:trHeight w:val="439"/>
          <w:jc w:val="center"/>
        </w:trPr>
        <w:tc>
          <w:tcPr>
            <w:tcW w:w="2720" w:type="dxa"/>
            <w:vMerge/>
            <w:shd w:val="clear" w:color="auto" w:fill="auto"/>
          </w:tcPr>
          <w:p w:rsidR="007D545F" w:rsidRPr="000F238E" w:rsidRDefault="007D545F" w:rsidP="007D545F">
            <w:pPr>
              <w:pStyle w:val="Normal1"/>
              <w:widowControl w:val="0"/>
              <w:spacing w:after="0" w:line="240" w:lineRule="auto"/>
              <w:jc w:val="both"/>
              <w:rPr>
                <w:b/>
                <w:color w:val="auto"/>
                <w:sz w:val="22"/>
                <w:szCs w:val="22"/>
              </w:rPr>
            </w:pPr>
          </w:p>
        </w:tc>
        <w:tc>
          <w:tcPr>
            <w:tcW w:w="1501" w:type="dxa"/>
            <w:shd w:val="clear" w:color="auto" w:fill="auto"/>
          </w:tcPr>
          <w:p w:rsidR="007D545F" w:rsidRPr="000F238E" w:rsidRDefault="007D545F" w:rsidP="007D545F">
            <w:pPr>
              <w:pStyle w:val="Normal1"/>
              <w:widowControl w:val="0"/>
              <w:spacing w:after="0" w:line="240" w:lineRule="auto"/>
              <w:jc w:val="center"/>
              <w:rPr>
                <w:b/>
                <w:color w:val="auto"/>
                <w:sz w:val="22"/>
                <w:szCs w:val="22"/>
                <w:lang w:val="en-US"/>
              </w:rPr>
            </w:pPr>
            <w:r w:rsidRPr="000F238E">
              <w:rPr>
                <w:b/>
                <w:color w:val="auto"/>
                <w:sz w:val="22"/>
                <w:szCs w:val="22"/>
                <w:lang w:val="en-US"/>
              </w:rPr>
              <w:t xml:space="preserve">Tổng </w:t>
            </w:r>
          </w:p>
          <w:p w:rsidR="007D545F" w:rsidRPr="000F238E" w:rsidRDefault="007D545F" w:rsidP="007D545F">
            <w:pPr>
              <w:pStyle w:val="Normal1"/>
              <w:widowControl w:val="0"/>
              <w:spacing w:after="0" w:line="240" w:lineRule="auto"/>
              <w:jc w:val="center"/>
              <w:rPr>
                <w:b/>
                <w:color w:val="auto"/>
                <w:sz w:val="22"/>
                <w:szCs w:val="22"/>
                <w:lang w:val="en-US"/>
              </w:rPr>
            </w:pPr>
            <w:r w:rsidRPr="000F238E">
              <w:rPr>
                <w:b/>
                <w:color w:val="auto"/>
                <w:sz w:val="22"/>
                <w:szCs w:val="22"/>
                <w:lang w:val="en-US"/>
              </w:rPr>
              <w:t>(n=20)</w:t>
            </w:r>
          </w:p>
        </w:tc>
        <w:tc>
          <w:tcPr>
            <w:tcW w:w="1417" w:type="dxa"/>
            <w:shd w:val="clear" w:color="auto" w:fill="auto"/>
          </w:tcPr>
          <w:p w:rsidR="007D545F" w:rsidRPr="000F238E" w:rsidRDefault="007D545F" w:rsidP="007D545F">
            <w:pPr>
              <w:pStyle w:val="Normal1"/>
              <w:widowControl w:val="0"/>
              <w:spacing w:after="0" w:line="240" w:lineRule="auto"/>
              <w:jc w:val="center"/>
              <w:rPr>
                <w:b/>
                <w:color w:val="auto"/>
                <w:sz w:val="22"/>
                <w:szCs w:val="22"/>
                <w:lang w:val="en-US"/>
              </w:rPr>
            </w:pPr>
            <w:r w:rsidRPr="000F238E">
              <w:rPr>
                <w:b/>
                <w:color w:val="auto"/>
                <w:sz w:val="22"/>
                <w:szCs w:val="22"/>
                <w:lang w:val="en-US"/>
              </w:rPr>
              <w:t>Độ 1</w:t>
            </w:r>
          </w:p>
        </w:tc>
        <w:tc>
          <w:tcPr>
            <w:tcW w:w="1258" w:type="dxa"/>
            <w:shd w:val="clear" w:color="auto" w:fill="auto"/>
          </w:tcPr>
          <w:p w:rsidR="007D545F" w:rsidRPr="000F238E" w:rsidRDefault="007D545F" w:rsidP="007D545F">
            <w:pPr>
              <w:pStyle w:val="Normal1"/>
              <w:widowControl w:val="0"/>
              <w:spacing w:after="0" w:line="240" w:lineRule="auto"/>
              <w:jc w:val="center"/>
              <w:rPr>
                <w:b/>
                <w:color w:val="auto"/>
                <w:sz w:val="22"/>
                <w:szCs w:val="22"/>
                <w:lang w:val="en-US"/>
              </w:rPr>
            </w:pPr>
            <w:r w:rsidRPr="000F238E">
              <w:rPr>
                <w:b/>
                <w:color w:val="auto"/>
                <w:sz w:val="22"/>
                <w:szCs w:val="22"/>
                <w:lang w:val="en-US"/>
              </w:rPr>
              <w:t>Độ 2</w:t>
            </w:r>
          </w:p>
        </w:tc>
        <w:tc>
          <w:tcPr>
            <w:tcW w:w="1226" w:type="dxa"/>
            <w:shd w:val="clear" w:color="auto" w:fill="auto"/>
          </w:tcPr>
          <w:p w:rsidR="007D545F" w:rsidRPr="000F238E" w:rsidRDefault="007D545F" w:rsidP="007D545F">
            <w:pPr>
              <w:pStyle w:val="Normal1"/>
              <w:widowControl w:val="0"/>
              <w:spacing w:after="0" w:line="240" w:lineRule="auto"/>
              <w:jc w:val="center"/>
              <w:rPr>
                <w:b/>
                <w:color w:val="auto"/>
                <w:sz w:val="22"/>
                <w:szCs w:val="22"/>
                <w:lang w:val="en-US"/>
              </w:rPr>
            </w:pPr>
            <w:r w:rsidRPr="000F238E">
              <w:rPr>
                <w:b/>
                <w:color w:val="auto"/>
                <w:sz w:val="22"/>
                <w:szCs w:val="22"/>
                <w:lang w:val="en-US"/>
              </w:rPr>
              <w:t>Độ 3</w:t>
            </w:r>
          </w:p>
        </w:tc>
        <w:tc>
          <w:tcPr>
            <w:tcW w:w="1178" w:type="dxa"/>
            <w:shd w:val="clear" w:color="auto" w:fill="auto"/>
          </w:tcPr>
          <w:p w:rsidR="007D545F" w:rsidRPr="000F238E" w:rsidRDefault="007D545F" w:rsidP="007D545F">
            <w:pPr>
              <w:pStyle w:val="Normal1"/>
              <w:widowControl w:val="0"/>
              <w:spacing w:after="0" w:line="240" w:lineRule="auto"/>
              <w:jc w:val="center"/>
              <w:rPr>
                <w:b/>
                <w:color w:val="auto"/>
                <w:sz w:val="22"/>
                <w:szCs w:val="22"/>
                <w:lang w:val="en-US"/>
              </w:rPr>
            </w:pPr>
            <w:r w:rsidRPr="000F238E">
              <w:rPr>
                <w:b/>
                <w:color w:val="auto"/>
                <w:sz w:val="22"/>
                <w:szCs w:val="22"/>
                <w:lang w:val="en-US"/>
              </w:rPr>
              <w:t>Độ 4</w:t>
            </w:r>
          </w:p>
        </w:tc>
      </w:tr>
      <w:tr w:rsidR="007D545F" w:rsidRPr="00B2088E" w:rsidTr="006F603F">
        <w:trPr>
          <w:trHeight w:val="439"/>
          <w:jc w:val="center"/>
        </w:trPr>
        <w:tc>
          <w:tcPr>
            <w:tcW w:w="9300" w:type="dxa"/>
            <w:gridSpan w:val="6"/>
          </w:tcPr>
          <w:p w:rsidR="007D545F" w:rsidRPr="000F238E" w:rsidRDefault="007D545F" w:rsidP="007D545F">
            <w:pPr>
              <w:pStyle w:val="Normal1"/>
              <w:widowControl w:val="0"/>
              <w:spacing w:before="120" w:after="0" w:line="240" w:lineRule="auto"/>
              <w:jc w:val="center"/>
              <w:rPr>
                <w:b/>
                <w:bCs/>
                <w:color w:val="auto"/>
                <w:sz w:val="22"/>
                <w:szCs w:val="22"/>
                <w:lang w:val="en-US"/>
              </w:rPr>
            </w:pPr>
            <w:r w:rsidRPr="000F238E">
              <w:rPr>
                <w:b/>
                <w:bCs/>
                <w:color w:val="auto"/>
                <w:sz w:val="22"/>
                <w:szCs w:val="22"/>
                <w:lang w:val="en-US"/>
              </w:rPr>
              <w:t>Huyết học</w:t>
            </w:r>
          </w:p>
        </w:tc>
      </w:tr>
      <w:tr w:rsidR="007D545F" w:rsidRPr="00B2088E" w:rsidTr="00DA4A19">
        <w:trPr>
          <w:trHeight w:val="439"/>
          <w:jc w:val="center"/>
        </w:trPr>
        <w:tc>
          <w:tcPr>
            <w:tcW w:w="2720" w:type="dxa"/>
          </w:tcPr>
          <w:p w:rsidR="007D545F" w:rsidRPr="000F238E" w:rsidRDefault="007D545F" w:rsidP="007D545F">
            <w:pPr>
              <w:pStyle w:val="Normal1"/>
              <w:widowControl w:val="0"/>
              <w:spacing w:before="120" w:after="0" w:line="240" w:lineRule="auto"/>
              <w:rPr>
                <w:b/>
                <w:bCs/>
                <w:color w:val="auto"/>
                <w:sz w:val="22"/>
                <w:szCs w:val="22"/>
              </w:rPr>
            </w:pPr>
            <w:r w:rsidRPr="000F238E">
              <w:rPr>
                <w:b/>
                <w:bCs/>
                <w:color w:val="auto"/>
                <w:sz w:val="22"/>
                <w:szCs w:val="22"/>
              </w:rPr>
              <w:t>Hạ bach cầu</w:t>
            </w:r>
          </w:p>
        </w:tc>
        <w:tc>
          <w:tcPr>
            <w:tcW w:w="1501" w:type="dxa"/>
          </w:tcPr>
          <w:p w:rsidR="005D16A3" w:rsidRPr="000F238E" w:rsidRDefault="005D16A3" w:rsidP="005D16A3">
            <w:pPr>
              <w:pStyle w:val="Normal1"/>
              <w:widowControl w:val="0"/>
              <w:spacing w:before="120" w:after="0" w:line="240" w:lineRule="auto"/>
              <w:jc w:val="center"/>
              <w:rPr>
                <w:color w:val="auto"/>
                <w:sz w:val="22"/>
                <w:szCs w:val="22"/>
                <w:lang w:val="en-US"/>
              </w:rPr>
            </w:pPr>
            <w:r w:rsidRPr="000F238E">
              <w:rPr>
                <w:color w:val="auto"/>
                <w:sz w:val="22"/>
                <w:szCs w:val="22"/>
                <w:lang w:val="en-US"/>
              </w:rPr>
              <w:t>11 (55%)</w:t>
            </w:r>
          </w:p>
        </w:tc>
        <w:tc>
          <w:tcPr>
            <w:tcW w:w="1417" w:type="dxa"/>
          </w:tcPr>
          <w:p w:rsidR="005D16A3" w:rsidRPr="000F238E" w:rsidRDefault="005D16A3" w:rsidP="005D16A3">
            <w:pPr>
              <w:pStyle w:val="Normal1"/>
              <w:widowControl w:val="0"/>
              <w:spacing w:before="120" w:after="0" w:line="240" w:lineRule="auto"/>
              <w:jc w:val="center"/>
              <w:rPr>
                <w:color w:val="auto"/>
                <w:sz w:val="22"/>
                <w:szCs w:val="22"/>
                <w:lang w:val="en-US"/>
              </w:rPr>
            </w:pPr>
            <w:r w:rsidRPr="000F238E">
              <w:rPr>
                <w:color w:val="auto"/>
                <w:sz w:val="22"/>
                <w:szCs w:val="22"/>
                <w:lang w:val="en-US"/>
              </w:rPr>
              <w:t>6 (30%)</w:t>
            </w:r>
          </w:p>
        </w:tc>
        <w:tc>
          <w:tcPr>
            <w:tcW w:w="1258" w:type="dxa"/>
          </w:tcPr>
          <w:p w:rsidR="007D545F" w:rsidRPr="000F238E" w:rsidRDefault="005D16A3" w:rsidP="007D545F">
            <w:pPr>
              <w:pStyle w:val="Normal1"/>
              <w:widowControl w:val="0"/>
              <w:spacing w:before="120" w:after="0" w:line="240" w:lineRule="auto"/>
              <w:ind w:right="-133" w:hanging="115"/>
              <w:jc w:val="center"/>
              <w:rPr>
                <w:color w:val="auto"/>
                <w:sz w:val="22"/>
                <w:szCs w:val="22"/>
                <w:lang w:val="en-US"/>
              </w:rPr>
            </w:pPr>
            <w:r w:rsidRPr="000F238E">
              <w:rPr>
                <w:color w:val="auto"/>
                <w:sz w:val="22"/>
                <w:szCs w:val="22"/>
                <w:lang w:val="en-US"/>
              </w:rPr>
              <w:t>3 (15%)</w:t>
            </w:r>
          </w:p>
        </w:tc>
        <w:tc>
          <w:tcPr>
            <w:tcW w:w="1226"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2 (20%)</w:t>
            </w:r>
          </w:p>
        </w:tc>
        <w:tc>
          <w:tcPr>
            <w:tcW w:w="1178"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0</w:t>
            </w:r>
          </w:p>
        </w:tc>
      </w:tr>
      <w:tr w:rsidR="007D545F" w:rsidRPr="00B2088E" w:rsidTr="00DA4A19">
        <w:trPr>
          <w:trHeight w:val="439"/>
          <w:jc w:val="center"/>
        </w:trPr>
        <w:tc>
          <w:tcPr>
            <w:tcW w:w="2720" w:type="dxa"/>
          </w:tcPr>
          <w:p w:rsidR="007D545F" w:rsidRPr="000F238E" w:rsidRDefault="007D545F" w:rsidP="007D545F">
            <w:pPr>
              <w:pStyle w:val="Normal1"/>
              <w:widowControl w:val="0"/>
              <w:spacing w:before="120" w:after="0" w:line="240" w:lineRule="auto"/>
              <w:ind w:right="-203"/>
              <w:rPr>
                <w:b/>
                <w:bCs/>
                <w:color w:val="auto"/>
                <w:sz w:val="22"/>
                <w:szCs w:val="22"/>
                <w:lang w:val="en-US"/>
              </w:rPr>
            </w:pPr>
            <w:r w:rsidRPr="000F238E">
              <w:rPr>
                <w:b/>
                <w:bCs/>
                <w:color w:val="auto"/>
                <w:sz w:val="22"/>
                <w:szCs w:val="22"/>
              </w:rPr>
              <w:t xml:space="preserve">Hạ bạch cầu </w:t>
            </w:r>
            <w:r w:rsidRPr="000F238E">
              <w:rPr>
                <w:b/>
                <w:bCs/>
                <w:color w:val="auto"/>
                <w:sz w:val="22"/>
                <w:szCs w:val="22"/>
                <w:lang w:val="en-US"/>
              </w:rPr>
              <w:t>trung tính</w:t>
            </w:r>
          </w:p>
        </w:tc>
        <w:tc>
          <w:tcPr>
            <w:tcW w:w="1501"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8 (40%)</w:t>
            </w:r>
          </w:p>
        </w:tc>
        <w:tc>
          <w:tcPr>
            <w:tcW w:w="1417"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4 (20%)</w:t>
            </w:r>
          </w:p>
        </w:tc>
        <w:tc>
          <w:tcPr>
            <w:tcW w:w="1258"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2 (20%)</w:t>
            </w:r>
          </w:p>
        </w:tc>
        <w:tc>
          <w:tcPr>
            <w:tcW w:w="1226"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2 (20%)</w:t>
            </w:r>
          </w:p>
        </w:tc>
        <w:tc>
          <w:tcPr>
            <w:tcW w:w="1178"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0</w:t>
            </w:r>
          </w:p>
        </w:tc>
      </w:tr>
      <w:tr w:rsidR="007D545F" w:rsidRPr="00B2088E" w:rsidTr="00DA4A19">
        <w:trPr>
          <w:trHeight w:val="439"/>
          <w:jc w:val="center"/>
        </w:trPr>
        <w:tc>
          <w:tcPr>
            <w:tcW w:w="2720" w:type="dxa"/>
          </w:tcPr>
          <w:p w:rsidR="007D545F" w:rsidRPr="000F238E" w:rsidRDefault="007D545F" w:rsidP="007D545F">
            <w:pPr>
              <w:pStyle w:val="Normal1"/>
              <w:widowControl w:val="0"/>
              <w:spacing w:before="120" w:after="0" w:line="240" w:lineRule="auto"/>
              <w:rPr>
                <w:b/>
                <w:bCs/>
                <w:color w:val="auto"/>
                <w:sz w:val="22"/>
                <w:szCs w:val="22"/>
              </w:rPr>
            </w:pPr>
            <w:r w:rsidRPr="000F238E">
              <w:rPr>
                <w:b/>
                <w:bCs/>
                <w:color w:val="auto"/>
                <w:sz w:val="22"/>
                <w:szCs w:val="22"/>
              </w:rPr>
              <w:t>Hạ tiểu cầu</w:t>
            </w:r>
          </w:p>
        </w:tc>
        <w:tc>
          <w:tcPr>
            <w:tcW w:w="1501" w:type="dxa"/>
          </w:tcPr>
          <w:p w:rsidR="007D545F" w:rsidRPr="000F238E" w:rsidRDefault="005D16A3" w:rsidP="007D545F">
            <w:pPr>
              <w:pStyle w:val="Normal1"/>
              <w:widowControl w:val="0"/>
              <w:spacing w:before="120" w:after="0" w:line="240" w:lineRule="auto"/>
              <w:jc w:val="center"/>
              <w:rPr>
                <w:bCs/>
                <w:color w:val="auto"/>
                <w:sz w:val="22"/>
                <w:szCs w:val="22"/>
                <w:lang w:val="en-US"/>
              </w:rPr>
            </w:pPr>
            <w:r w:rsidRPr="000F238E">
              <w:rPr>
                <w:bCs/>
                <w:color w:val="auto"/>
                <w:sz w:val="22"/>
                <w:szCs w:val="22"/>
                <w:lang w:val="en-US"/>
              </w:rPr>
              <w:t>4 (20%)</w:t>
            </w:r>
          </w:p>
        </w:tc>
        <w:tc>
          <w:tcPr>
            <w:tcW w:w="1417" w:type="dxa"/>
          </w:tcPr>
          <w:p w:rsidR="007D545F" w:rsidRPr="000F238E" w:rsidRDefault="005D16A3" w:rsidP="007D545F">
            <w:pPr>
              <w:pStyle w:val="Normal1"/>
              <w:widowControl w:val="0"/>
              <w:spacing w:before="120" w:after="0" w:line="240" w:lineRule="auto"/>
              <w:jc w:val="center"/>
              <w:rPr>
                <w:bCs/>
                <w:color w:val="auto"/>
                <w:sz w:val="22"/>
                <w:szCs w:val="22"/>
                <w:lang w:val="en-US"/>
              </w:rPr>
            </w:pPr>
            <w:r w:rsidRPr="000F238E">
              <w:rPr>
                <w:bCs/>
                <w:color w:val="auto"/>
                <w:sz w:val="22"/>
                <w:szCs w:val="22"/>
                <w:lang w:val="en-US"/>
              </w:rPr>
              <w:t>3 (15%)</w:t>
            </w:r>
          </w:p>
        </w:tc>
        <w:tc>
          <w:tcPr>
            <w:tcW w:w="1258" w:type="dxa"/>
          </w:tcPr>
          <w:p w:rsidR="007D545F" w:rsidRPr="000F238E" w:rsidRDefault="005D16A3" w:rsidP="007D545F">
            <w:pPr>
              <w:pStyle w:val="Normal1"/>
              <w:widowControl w:val="0"/>
              <w:spacing w:before="120" w:after="0" w:line="240" w:lineRule="auto"/>
              <w:jc w:val="center"/>
              <w:rPr>
                <w:bCs/>
                <w:color w:val="auto"/>
                <w:sz w:val="22"/>
                <w:szCs w:val="22"/>
                <w:lang w:val="en-US"/>
              </w:rPr>
            </w:pPr>
            <w:r w:rsidRPr="000F238E">
              <w:rPr>
                <w:bCs/>
                <w:color w:val="auto"/>
                <w:sz w:val="22"/>
                <w:szCs w:val="22"/>
                <w:lang w:val="en-US"/>
              </w:rPr>
              <w:t>1 (5%)</w:t>
            </w:r>
          </w:p>
        </w:tc>
        <w:tc>
          <w:tcPr>
            <w:tcW w:w="1226" w:type="dxa"/>
          </w:tcPr>
          <w:p w:rsidR="007D545F" w:rsidRPr="000F238E" w:rsidRDefault="005D16A3" w:rsidP="007D545F">
            <w:pPr>
              <w:pStyle w:val="Normal1"/>
              <w:widowControl w:val="0"/>
              <w:spacing w:before="120" w:after="0" w:line="240" w:lineRule="auto"/>
              <w:jc w:val="center"/>
              <w:rPr>
                <w:bCs/>
                <w:color w:val="auto"/>
                <w:sz w:val="22"/>
                <w:szCs w:val="22"/>
                <w:lang w:val="en-US"/>
              </w:rPr>
            </w:pPr>
            <w:r w:rsidRPr="000F238E">
              <w:rPr>
                <w:bCs/>
                <w:color w:val="auto"/>
                <w:sz w:val="22"/>
                <w:szCs w:val="22"/>
                <w:lang w:val="en-US"/>
              </w:rPr>
              <w:t>0</w:t>
            </w:r>
          </w:p>
        </w:tc>
        <w:tc>
          <w:tcPr>
            <w:tcW w:w="1178" w:type="dxa"/>
          </w:tcPr>
          <w:p w:rsidR="007D545F" w:rsidRPr="000F238E" w:rsidRDefault="005D16A3" w:rsidP="007D545F">
            <w:pPr>
              <w:pStyle w:val="Normal1"/>
              <w:widowControl w:val="0"/>
              <w:spacing w:before="120" w:after="0" w:line="240" w:lineRule="auto"/>
              <w:jc w:val="center"/>
              <w:rPr>
                <w:bCs/>
                <w:color w:val="auto"/>
                <w:sz w:val="22"/>
                <w:szCs w:val="22"/>
                <w:lang w:val="en-US"/>
              </w:rPr>
            </w:pPr>
            <w:r w:rsidRPr="000F238E">
              <w:rPr>
                <w:bCs/>
                <w:color w:val="auto"/>
                <w:sz w:val="22"/>
                <w:szCs w:val="22"/>
                <w:lang w:val="en-US"/>
              </w:rPr>
              <w:t>0</w:t>
            </w:r>
          </w:p>
        </w:tc>
      </w:tr>
      <w:tr w:rsidR="007D545F" w:rsidRPr="00B2088E" w:rsidTr="00DA4A19">
        <w:trPr>
          <w:trHeight w:val="457"/>
          <w:jc w:val="center"/>
        </w:trPr>
        <w:tc>
          <w:tcPr>
            <w:tcW w:w="2720" w:type="dxa"/>
          </w:tcPr>
          <w:p w:rsidR="007D545F" w:rsidRPr="000F238E" w:rsidRDefault="007D545F" w:rsidP="007D545F">
            <w:pPr>
              <w:pStyle w:val="Normal1"/>
              <w:widowControl w:val="0"/>
              <w:spacing w:before="120" w:after="0" w:line="240" w:lineRule="auto"/>
              <w:rPr>
                <w:b/>
                <w:bCs/>
                <w:color w:val="auto"/>
                <w:sz w:val="22"/>
                <w:szCs w:val="22"/>
              </w:rPr>
            </w:pPr>
            <w:r w:rsidRPr="000F238E">
              <w:rPr>
                <w:b/>
                <w:bCs/>
                <w:color w:val="auto"/>
                <w:sz w:val="22"/>
                <w:szCs w:val="22"/>
              </w:rPr>
              <w:t>Thiếu máu</w:t>
            </w:r>
          </w:p>
        </w:tc>
        <w:tc>
          <w:tcPr>
            <w:tcW w:w="1501"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11 (55%)</w:t>
            </w:r>
          </w:p>
        </w:tc>
        <w:tc>
          <w:tcPr>
            <w:tcW w:w="1417"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8 (40%)</w:t>
            </w:r>
          </w:p>
        </w:tc>
        <w:tc>
          <w:tcPr>
            <w:tcW w:w="1258"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2 (10%)</w:t>
            </w:r>
          </w:p>
        </w:tc>
        <w:tc>
          <w:tcPr>
            <w:tcW w:w="1226"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1 (5%)</w:t>
            </w:r>
          </w:p>
        </w:tc>
        <w:tc>
          <w:tcPr>
            <w:tcW w:w="1178" w:type="dxa"/>
          </w:tcPr>
          <w:p w:rsidR="007D545F" w:rsidRPr="000F238E" w:rsidRDefault="005D16A3"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0</w:t>
            </w:r>
          </w:p>
        </w:tc>
      </w:tr>
      <w:tr w:rsidR="007D545F" w:rsidRPr="00B2088E" w:rsidTr="00F92CA1">
        <w:trPr>
          <w:trHeight w:val="457"/>
          <w:jc w:val="center"/>
        </w:trPr>
        <w:tc>
          <w:tcPr>
            <w:tcW w:w="9300" w:type="dxa"/>
            <w:gridSpan w:val="6"/>
          </w:tcPr>
          <w:p w:rsidR="007D545F" w:rsidRPr="000F238E" w:rsidRDefault="007D545F" w:rsidP="007D545F">
            <w:pPr>
              <w:pStyle w:val="Normal1"/>
              <w:widowControl w:val="0"/>
              <w:spacing w:before="120" w:after="0" w:line="240" w:lineRule="auto"/>
              <w:jc w:val="center"/>
              <w:rPr>
                <w:b/>
                <w:bCs/>
                <w:color w:val="auto"/>
                <w:sz w:val="22"/>
                <w:szCs w:val="22"/>
                <w:lang w:val="en-US"/>
              </w:rPr>
            </w:pPr>
            <w:r w:rsidRPr="000F238E">
              <w:rPr>
                <w:b/>
                <w:bCs/>
                <w:color w:val="auto"/>
                <w:sz w:val="22"/>
                <w:szCs w:val="22"/>
                <w:lang w:val="en-US"/>
              </w:rPr>
              <w:t>Ngoài huyết học</w:t>
            </w:r>
          </w:p>
        </w:tc>
      </w:tr>
      <w:tr w:rsidR="007D545F" w:rsidRPr="00B2088E" w:rsidTr="00DA4A19">
        <w:trPr>
          <w:trHeight w:val="457"/>
          <w:jc w:val="center"/>
        </w:trPr>
        <w:tc>
          <w:tcPr>
            <w:tcW w:w="2720" w:type="dxa"/>
          </w:tcPr>
          <w:p w:rsidR="007D545F" w:rsidRPr="000F238E" w:rsidRDefault="007D545F" w:rsidP="007D545F">
            <w:pPr>
              <w:pStyle w:val="Normal1"/>
              <w:widowControl w:val="0"/>
              <w:spacing w:before="120" w:after="0" w:line="240" w:lineRule="auto"/>
              <w:rPr>
                <w:b/>
                <w:bCs/>
                <w:color w:val="auto"/>
                <w:sz w:val="22"/>
                <w:szCs w:val="22"/>
              </w:rPr>
            </w:pPr>
            <w:r w:rsidRPr="000F238E">
              <w:rPr>
                <w:b/>
                <w:bCs/>
                <w:color w:val="auto"/>
                <w:sz w:val="22"/>
                <w:szCs w:val="22"/>
              </w:rPr>
              <w:t>Độc tính thần kinh ngoại vy</w:t>
            </w:r>
          </w:p>
        </w:tc>
        <w:tc>
          <w:tcPr>
            <w:tcW w:w="1501"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8 (40%)</w:t>
            </w:r>
          </w:p>
        </w:tc>
        <w:tc>
          <w:tcPr>
            <w:tcW w:w="1417"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7 (35%)</w:t>
            </w:r>
          </w:p>
        </w:tc>
        <w:tc>
          <w:tcPr>
            <w:tcW w:w="1258"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1 (5%)</w:t>
            </w:r>
          </w:p>
        </w:tc>
        <w:tc>
          <w:tcPr>
            <w:tcW w:w="1226"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0</w:t>
            </w:r>
          </w:p>
        </w:tc>
        <w:tc>
          <w:tcPr>
            <w:tcW w:w="1178"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0</w:t>
            </w:r>
          </w:p>
        </w:tc>
      </w:tr>
      <w:tr w:rsidR="007D545F" w:rsidRPr="00B2088E" w:rsidTr="00DA4A19">
        <w:trPr>
          <w:trHeight w:val="457"/>
          <w:jc w:val="center"/>
        </w:trPr>
        <w:tc>
          <w:tcPr>
            <w:tcW w:w="2720" w:type="dxa"/>
          </w:tcPr>
          <w:p w:rsidR="007D545F" w:rsidRPr="000F238E" w:rsidRDefault="007D545F" w:rsidP="007D545F">
            <w:pPr>
              <w:pStyle w:val="Normal1"/>
              <w:widowControl w:val="0"/>
              <w:spacing w:before="120" w:after="0" w:line="240" w:lineRule="auto"/>
              <w:rPr>
                <w:b/>
                <w:bCs/>
                <w:color w:val="auto"/>
                <w:sz w:val="22"/>
                <w:szCs w:val="22"/>
              </w:rPr>
            </w:pPr>
            <w:r w:rsidRPr="000F238E">
              <w:rPr>
                <w:b/>
                <w:bCs/>
                <w:color w:val="auto"/>
                <w:sz w:val="22"/>
                <w:szCs w:val="22"/>
              </w:rPr>
              <w:t>Tăng AST/ALT</w:t>
            </w:r>
          </w:p>
        </w:tc>
        <w:tc>
          <w:tcPr>
            <w:tcW w:w="1501"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9 (4</w:t>
            </w:r>
            <w:r w:rsidR="00CB1A8E" w:rsidRPr="000F238E">
              <w:rPr>
                <w:color w:val="auto"/>
                <w:sz w:val="22"/>
                <w:szCs w:val="22"/>
                <w:lang w:val="en-US"/>
              </w:rPr>
              <w:t>5</w:t>
            </w:r>
            <w:r w:rsidRPr="000F238E">
              <w:rPr>
                <w:color w:val="auto"/>
                <w:sz w:val="22"/>
                <w:szCs w:val="22"/>
                <w:lang w:val="en-US"/>
              </w:rPr>
              <w:t>%)</w:t>
            </w:r>
          </w:p>
        </w:tc>
        <w:tc>
          <w:tcPr>
            <w:tcW w:w="1417"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7 (35%)</w:t>
            </w:r>
          </w:p>
        </w:tc>
        <w:tc>
          <w:tcPr>
            <w:tcW w:w="1258"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2 (10%)</w:t>
            </w:r>
          </w:p>
        </w:tc>
        <w:tc>
          <w:tcPr>
            <w:tcW w:w="1226"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0</w:t>
            </w:r>
          </w:p>
        </w:tc>
        <w:tc>
          <w:tcPr>
            <w:tcW w:w="1178"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0</w:t>
            </w:r>
          </w:p>
        </w:tc>
      </w:tr>
      <w:tr w:rsidR="007D545F" w:rsidRPr="00B2088E" w:rsidTr="00DA4A19">
        <w:trPr>
          <w:trHeight w:val="457"/>
          <w:jc w:val="center"/>
        </w:trPr>
        <w:tc>
          <w:tcPr>
            <w:tcW w:w="2720" w:type="dxa"/>
          </w:tcPr>
          <w:p w:rsidR="007D545F" w:rsidRPr="000F238E" w:rsidRDefault="007D545F" w:rsidP="007D545F">
            <w:pPr>
              <w:pStyle w:val="Normal1"/>
              <w:widowControl w:val="0"/>
              <w:spacing w:before="120" w:after="0" w:line="240" w:lineRule="auto"/>
              <w:rPr>
                <w:b/>
                <w:bCs/>
                <w:color w:val="auto"/>
                <w:sz w:val="22"/>
                <w:szCs w:val="22"/>
              </w:rPr>
            </w:pPr>
            <w:r w:rsidRPr="000F238E">
              <w:rPr>
                <w:b/>
                <w:bCs/>
                <w:color w:val="auto"/>
                <w:sz w:val="22"/>
                <w:szCs w:val="22"/>
              </w:rPr>
              <w:t>Nôn, buồn nôn</w:t>
            </w:r>
          </w:p>
        </w:tc>
        <w:tc>
          <w:tcPr>
            <w:tcW w:w="1501"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5 (25%)</w:t>
            </w:r>
          </w:p>
        </w:tc>
        <w:tc>
          <w:tcPr>
            <w:tcW w:w="1417"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4 (20%)</w:t>
            </w:r>
          </w:p>
        </w:tc>
        <w:tc>
          <w:tcPr>
            <w:tcW w:w="1258"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1 (5%)</w:t>
            </w:r>
          </w:p>
        </w:tc>
        <w:tc>
          <w:tcPr>
            <w:tcW w:w="1226"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0</w:t>
            </w:r>
          </w:p>
        </w:tc>
        <w:tc>
          <w:tcPr>
            <w:tcW w:w="1178" w:type="dxa"/>
          </w:tcPr>
          <w:p w:rsidR="007D545F" w:rsidRPr="000F238E" w:rsidRDefault="0022181E" w:rsidP="007D545F">
            <w:pPr>
              <w:pStyle w:val="Normal1"/>
              <w:widowControl w:val="0"/>
              <w:spacing w:before="120" w:after="0" w:line="240" w:lineRule="auto"/>
              <w:jc w:val="center"/>
              <w:rPr>
                <w:color w:val="auto"/>
                <w:sz w:val="22"/>
                <w:szCs w:val="22"/>
                <w:lang w:val="en-US"/>
              </w:rPr>
            </w:pPr>
            <w:r w:rsidRPr="000F238E">
              <w:rPr>
                <w:color w:val="auto"/>
                <w:sz w:val="22"/>
                <w:szCs w:val="22"/>
                <w:lang w:val="en-US"/>
              </w:rPr>
              <w:t>0</w:t>
            </w:r>
          </w:p>
        </w:tc>
      </w:tr>
    </w:tbl>
    <w:p w:rsidR="007D545F" w:rsidRPr="00B2088E" w:rsidRDefault="009E4F94" w:rsidP="00267238">
      <w:pPr>
        <w:spacing w:after="0" w:line="240" w:lineRule="auto"/>
        <w:ind w:left="360"/>
        <w:jc w:val="both"/>
        <w:rPr>
          <w:rFonts w:eastAsia="Times New Roman"/>
          <w:bCs/>
          <w:iCs/>
          <w:sz w:val="24"/>
          <w:szCs w:val="24"/>
        </w:rPr>
      </w:pPr>
      <w:r w:rsidRPr="00B2088E">
        <w:rPr>
          <w:rFonts w:eastAsia="Times New Roman"/>
          <w:bCs/>
          <w:iCs/>
          <w:sz w:val="24"/>
          <w:szCs w:val="24"/>
        </w:rPr>
        <w:t>Nhận xét: Đ</w:t>
      </w:r>
      <w:r w:rsidR="00D64738" w:rsidRPr="00B2088E">
        <w:rPr>
          <w:rFonts w:eastAsia="Times New Roman"/>
          <w:bCs/>
          <w:iCs/>
          <w:sz w:val="24"/>
          <w:szCs w:val="24"/>
        </w:rPr>
        <w:t>ộc tính trên huyết học hay gặp nhất là thiếu máu và hạch bạch cầu, chủ yếu độ 1, độ 2. Hạ tiểu cầu ít gặp hơn. Không ghi nhận trường hợp sốt hạ bạch cầu hoặc xuất huyết do giảm tiểu cầu. Độc tính ngoài huyết học ghi nhận hay gặp trên hệ thần kinh ngoại vi, tăng AST/ALT, chủ yếu độ 1. Không ghi nhận độc tính độ 4 ở các bệnh nhân nghiên cứu.</w:t>
      </w:r>
    </w:p>
    <w:p w:rsidR="00D64738" w:rsidRPr="005C43E8" w:rsidRDefault="00D64738" w:rsidP="005C43E8">
      <w:pPr>
        <w:pStyle w:val="ListParagraph"/>
        <w:numPr>
          <w:ilvl w:val="0"/>
          <w:numId w:val="21"/>
        </w:numPr>
        <w:spacing w:after="0" w:line="240" w:lineRule="auto"/>
        <w:jc w:val="both"/>
        <w:rPr>
          <w:rFonts w:eastAsia="Times New Roman"/>
          <w:b/>
          <w:iCs/>
          <w:sz w:val="24"/>
          <w:szCs w:val="24"/>
        </w:rPr>
      </w:pPr>
      <w:r w:rsidRPr="005C43E8">
        <w:rPr>
          <w:rFonts w:eastAsia="Times New Roman"/>
          <w:b/>
          <w:iCs/>
          <w:sz w:val="24"/>
          <w:szCs w:val="24"/>
        </w:rPr>
        <w:t>BÀN LUẬN</w:t>
      </w:r>
    </w:p>
    <w:p w:rsidR="00D64738" w:rsidRPr="00B2088E" w:rsidRDefault="00AB0FAF" w:rsidP="00D64738">
      <w:pPr>
        <w:spacing w:after="0" w:line="240" w:lineRule="auto"/>
        <w:ind w:left="360"/>
        <w:jc w:val="both"/>
        <w:rPr>
          <w:rFonts w:eastAsia="Times New Roman"/>
          <w:bCs/>
          <w:iCs/>
          <w:sz w:val="24"/>
          <w:szCs w:val="24"/>
        </w:rPr>
      </w:pPr>
      <w:r w:rsidRPr="00B2088E">
        <w:rPr>
          <w:rFonts w:eastAsia="Times New Roman"/>
          <w:bCs/>
          <w:iCs/>
          <w:sz w:val="24"/>
          <w:szCs w:val="24"/>
        </w:rPr>
        <w:lastRenderedPageBreak/>
        <w:t xml:space="preserve">      </w:t>
      </w:r>
      <w:r w:rsidR="0067171E" w:rsidRPr="00B2088E">
        <w:rPr>
          <w:rFonts w:eastAsia="Times New Roman"/>
          <w:bCs/>
          <w:iCs/>
          <w:sz w:val="24"/>
          <w:szCs w:val="24"/>
        </w:rPr>
        <w:t xml:space="preserve">Ung thư biểu mô tuyến ức, đặc biệt là ở giai đoạn </w:t>
      </w:r>
      <w:r w:rsidR="005164FE" w:rsidRPr="00B2088E">
        <w:rPr>
          <w:rFonts w:eastAsia="Times New Roman"/>
          <w:bCs/>
          <w:iCs/>
          <w:sz w:val="24"/>
          <w:szCs w:val="24"/>
        </w:rPr>
        <w:t>di căn</w:t>
      </w:r>
      <w:r w:rsidR="0067171E" w:rsidRPr="00B2088E">
        <w:rPr>
          <w:rFonts w:eastAsia="Times New Roman"/>
          <w:bCs/>
          <w:iCs/>
          <w:sz w:val="24"/>
          <w:szCs w:val="24"/>
        </w:rPr>
        <w:t xml:space="preserve">, tạo ra những thách thức lớn khi không </w:t>
      </w:r>
      <w:r w:rsidR="005164FE" w:rsidRPr="00B2088E">
        <w:rPr>
          <w:rFonts w:eastAsia="Times New Roman"/>
          <w:bCs/>
          <w:iCs/>
          <w:sz w:val="24"/>
          <w:szCs w:val="24"/>
        </w:rPr>
        <w:t>bệnh nhân không có chỉ định điều trị tại chỗ tại vùng bằng phẫu thuật, xạ trị, trong khi chưa các phác đồ chuẩn điều trị cho giai đoạn này</w:t>
      </w:r>
      <w:r w:rsidR="0067171E" w:rsidRPr="00B2088E">
        <w:rPr>
          <w:rFonts w:eastAsia="Times New Roman"/>
          <w:bCs/>
          <w:iCs/>
          <w:sz w:val="24"/>
          <w:szCs w:val="24"/>
        </w:rPr>
        <w:t xml:space="preserve">. </w:t>
      </w:r>
    </w:p>
    <w:p w:rsidR="00AB0FAF" w:rsidRPr="00B2088E" w:rsidRDefault="0067171E" w:rsidP="00AB0FAF">
      <w:pPr>
        <w:spacing w:after="0" w:line="240" w:lineRule="auto"/>
        <w:ind w:left="360"/>
        <w:jc w:val="both"/>
        <w:rPr>
          <w:rFonts w:eastAsia="Times New Roman"/>
          <w:bCs/>
          <w:iCs/>
          <w:sz w:val="24"/>
          <w:szCs w:val="24"/>
        </w:rPr>
      </w:pPr>
      <w:r w:rsidRPr="00B2088E">
        <w:rPr>
          <w:rFonts w:eastAsia="Times New Roman"/>
          <w:bCs/>
          <w:iCs/>
          <w:sz w:val="24"/>
          <w:szCs w:val="24"/>
        </w:rPr>
        <w:t xml:space="preserve">Nghiên cứu của chúng tôi thu thập được 20 bệnh nhân được chẩn đoán ung thư biểu mô tuyến ức giai đoạn </w:t>
      </w:r>
      <w:r w:rsidR="009E11F5" w:rsidRPr="00B2088E">
        <w:rPr>
          <w:rFonts w:eastAsia="Times New Roman"/>
          <w:bCs/>
          <w:iCs/>
          <w:sz w:val="24"/>
          <w:szCs w:val="24"/>
        </w:rPr>
        <w:t>di căn</w:t>
      </w:r>
      <w:r w:rsidRPr="00B2088E">
        <w:rPr>
          <w:rFonts w:eastAsia="Times New Roman"/>
          <w:bCs/>
          <w:iCs/>
          <w:sz w:val="24"/>
          <w:szCs w:val="24"/>
        </w:rPr>
        <w:t xml:space="preserve"> </w:t>
      </w:r>
      <w:r w:rsidR="009E11F5" w:rsidRPr="00B2088E">
        <w:rPr>
          <w:rFonts w:eastAsia="Times New Roman"/>
          <w:bCs/>
          <w:iCs/>
          <w:sz w:val="24"/>
          <w:szCs w:val="24"/>
        </w:rPr>
        <w:t>điều trị với hóa chất Paclitaxel- Carboplatin</w:t>
      </w:r>
      <w:r w:rsidRPr="00B2088E">
        <w:rPr>
          <w:rFonts w:eastAsia="Times New Roman"/>
          <w:bCs/>
          <w:iCs/>
          <w:sz w:val="24"/>
          <w:szCs w:val="24"/>
        </w:rPr>
        <w:t xml:space="preserve">. Các bệnh nhân trong nghiên cứu </w:t>
      </w:r>
      <w:r w:rsidR="009E11F5" w:rsidRPr="00B2088E">
        <w:rPr>
          <w:rFonts w:eastAsia="Times New Roman"/>
          <w:bCs/>
          <w:iCs/>
          <w:sz w:val="24"/>
          <w:szCs w:val="24"/>
        </w:rPr>
        <w:t>có</w:t>
      </w:r>
      <w:r w:rsidRPr="00B2088E">
        <w:rPr>
          <w:rFonts w:eastAsia="Times New Roman"/>
          <w:bCs/>
          <w:iCs/>
          <w:sz w:val="24"/>
          <w:szCs w:val="24"/>
        </w:rPr>
        <w:t xml:space="preserve"> tuổi trung bình là 56,4, chủ yếu là nam giới (65%), và hầu hết các trường hợp có mô bệnh học là carcninoma vảy (70%), tương tự với các kết quả về đặc điểm dân số chung của ung thư biểu mô tuyến ức trong các nghiên cứu trước đây của các tác giả được công bố trên thế giới. Ngoài ra, trong nghiên cứu của chúng tôi có 01 trường hợp carcinoma </w:t>
      </w:r>
      <w:r w:rsidR="008356F6" w:rsidRPr="00B2088E">
        <w:rPr>
          <w:rFonts w:eastAsia="Times New Roman"/>
          <w:bCs/>
          <w:iCs/>
          <w:sz w:val="24"/>
          <w:szCs w:val="24"/>
        </w:rPr>
        <w:t>Thần kinh nội tiết tế bào lớn</w:t>
      </w:r>
      <w:r w:rsidRPr="00B2088E">
        <w:rPr>
          <w:rFonts w:eastAsia="Times New Roman"/>
          <w:bCs/>
          <w:iCs/>
          <w:sz w:val="24"/>
          <w:szCs w:val="24"/>
        </w:rPr>
        <w:t xml:space="preserve"> và 01 trường hợp carcinoma dạng lympho biểu mô, ghi nhận sự đa dạng về mô học trong nhóm ung thư hiếm gặp này.</w:t>
      </w:r>
      <w:r w:rsidR="000873BF" w:rsidRPr="00B2088E">
        <w:rPr>
          <w:rFonts w:eastAsia="Times New Roman"/>
          <w:bCs/>
          <w:iCs/>
          <w:sz w:val="24"/>
          <w:szCs w:val="24"/>
        </w:rPr>
        <w:t xml:space="preserve"> Thể mô bệnh học đã được xem là một yếu tố tiên lượng quan trọng đối với ung thư biểu mô tuyến ức. Một số nghiên cứu lâm sàng đã cho thấy rằng nhóm ung thư mô tế bào vảy ung thư có liên quan đến lượng tốt hơn, trong khi các thể khác kém đáp ứng hơn với hóa trị. </w:t>
      </w:r>
      <w:r w:rsidRPr="00B2088E">
        <w:rPr>
          <w:rFonts w:eastAsia="Times New Roman"/>
          <w:bCs/>
          <w:iCs/>
          <w:sz w:val="24"/>
          <w:szCs w:val="24"/>
        </w:rPr>
        <w:t xml:space="preserve">Đáng chú ý, </w:t>
      </w:r>
      <w:r w:rsidR="000873BF" w:rsidRPr="00B2088E">
        <w:rPr>
          <w:rFonts w:eastAsia="Times New Roman"/>
          <w:bCs/>
          <w:iCs/>
          <w:sz w:val="24"/>
          <w:szCs w:val="24"/>
        </w:rPr>
        <w:t xml:space="preserve">trong nghiên cứu của chúng tôi, di căn </w:t>
      </w:r>
      <w:r w:rsidRPr="00B2088E">
        <w:rPr>
          <w:rFonts w:eastAsia="Times New Roman"/>
          <w:bCs/>
          <w:iCs/>
          <w:sz w:val="24"/>
          <w:szCs w:val="24"/>
        </w:rPr>
        <w:t>màng phổi và phổi, với giai đoạn IVB chiếm tỷ lệ cao hơn (</w:t>
      </w:r>
      <w:r w:rsidR="008356F6" w:rsidRPr="00B2088E">
        <w:rPr>
          <w:rFonts w:eastAsia="Times New Roman"/>
          <w:bCs/>
          <w:iCs/>
          <w:sz w:val="24"/>
          <w:szCs w:val="24"/>
        </w:rPr>
        <w:t>60</w:t>
      </w:r>
      <w:r w:rsidRPr="00B2088E">
        <w:rPr>
          <w:rFonts w:eastAsia="Times New Roman"/>
          <w:bCs/>
          <w:iCs/>
          <w:sz w:val="24"/>
          <w:szCs w:val="24"/>
        </w:rPr>
        <w:t xml:space="preserve">%), nhấn mạnh tính chất ác tính và tiên lượng không tốt của bệnh. Đặc biệt, 01 bệnh nhân (2,6%) được chẩn đoán mắc hội chứng nhược cơ độ 2, làm phức tạp thêm đặc điểm lâm sàng của ung thư tuyến ức. </w:t>
      </w:r>
      <w:r w:rsidR="003A7824" w:rsidRPr="00B2088E">
        <w:rPr>
          <w:rFonts w:eastAsia="Times New Roman"/>
          <w:bCs/>
          <w:iCs/>
          <w:sz w:val="24"/>
          <w:szCs w:val="24"/>
        </w:rPr>
        <w:t xml:space="preserve"> </w:t>
      </w:r>
    </w:p>
    <w:p w:rsidR="00AB0FAF" w:rsidRPr="00B2088E" w:rsidRDefault="00AB0FAF" w:rsidP="00AB0FAF">
      <w:pPr>
        <w:spacing w:after="0" w:line="240" w:lineRule="auto"/>
        <w:ind w:left="360"/>
        <w:jc w:val="both"/>
        <w:rPr>
          <w:rFonts w:eastAsia="Times New Roman"/>
          <w:bCs/>
          <w:iCs/>
          <w:sz w:val="24"/>
          <w:szCs w:val="24"/>
        </w:rPr>
      </w:pPr>
      <w:r w:rsidRPr="00B2088E">
        <w:rPr>
          <w:rFonts w:eastAsia="Times New Roman"/>
          <w:bCs/>
          <w:iCs/>
          <w:sz w:val="24"/>
          <w:szCs w:val="24"/>
        </w:rPr>
        <w:t xml:space="preserve">        Kết quả nghiên cứu của chúng tôi cho thấy đáp ứng một phần trong 45% bệnh nhân, </w:t>
      </w:r>
      <w:r w:rsidR="00F77B6A" w:rsidRPr="00B2088E">
        <w:rPr>
          <w:rFonts w:eastAsia="Times New Roman"/>
          <w:bCs/>
          <w:iCs/>
          <w:sz w:val="24"/>
          <w:szCs w:val="24"/>
        </w:rPr>
        <w:t>cao hơn</w:t>
      </w:r>
      <w:r w:rsidRPr="00B2088E">
        <w:rPr>
          <w:rFonts w:eastAsia="Times New Roman"/>
          <w:bCs/>
          <w:iCs/>
          <w:sz w:val="24"/>
          <w:szCs w:val="24"/>
        </w:rPr>
        <w:t xml:space="preserve"> với các nghiên cứu trước đây như công bố của </w:t>
      </w:r>
      <w:r w:rsidR="00F77B6A" w:rsidRPr="00B2088E">
        <w:rPr>
          <w:rFonts w:eastAsia="Times New Roman"/>
          <w:bCs/>
          <w:iCs/>
          <w:sz w:val="24"/>
          <w:szCs w:val="24"/>
        </w:rPr>
        <w:t>Igawa</w:t>
      </w:r>
      <w:r w:rsidRPr="00B2088E">
        <w:rPr>
          <w:rFonts w:eastAsia="Times New Roman"/>
          <w:bCs/>
          <w:iCs/>
          <w:sz w:val="24"/>
          <w:szCs w:val="24"/>
        </w:rPr>
        <w:t xml:space="preserve"> (201</w:t>
      </w:r>
      <w:r w:rsidR="00F77B6A" w:rsidRPr="00B2088E">
        <w:rPr>
          <w:rFonts w:eastAsia="Times New Roman"/>
          <w:bCs/>
          <w:iCs/>
          <w:sz w:val="24"/>
          <w:szCs w:val="24"/>
        </w:rPr>
        <w:t>0</w:t>
      </w:r>
      <w:r w:rsidRPr="00B2088E">
        <w:rPr>
          <w:rFonts w:eastAsia="Times New Roman"/>
          <w:bCs/>
          <w:iCs/>
          <w:sz w:val="24"/>
          <w:szCs w:val="24"/>
        </w:rPr>
        <w:t>)</w:t>
      </w:r>
      <w:r w:rsidR="00F77B6A" w:rsidRPr="00B2088E">
        <w:rPr>
          <w:rFonts w:eastAsia="Times New Roman"/>
          <w:bCs/>
          <w:iCs/>
          <w:sz w:val="24"/>
          <w:szCs w:val="24"/>
        </w:rPr>
        <w:t xml:space="preserve">, Lenma (2008) </w:t>
      </w:r>
      <w:r w:rsidRPr="00B2088E">
        <w:rPr>
          <w:rFonts w:eastAsia="Times New Roman"/>
          <w:bCs/>
          <w:iCs/>
          <w:sz w:val="24"/>
          <w:szCs w:val="24"/>
        </w:rPr>
        <w:t>với tỷ lệ đáp ứng một phần</w:t>
      </w:r>
      <w:r w:rsidR="00F77B6A" w:rsidRPr="00B2088E">
        <w:rPr>
          <w:rFonts w:eastAsia="Times New Roman"/>
          <w:bCs/>
          <w:iCs/>
          <w:sz w:val="24"/>
          <w:szCs w:val="24"/>
        </w:rPr>
        <w:t xml:space="preserve"> lần lượt</w:t>
      </w:r>
      <w:r w:rsidRPr="00B2088E">
        <w:rPr>
          <w:rFonts w:eastAsia="Times New Roman"/>
          <w:bCs/>
          <w:iCs/>
          <w:sz w:val="24"/>
          <w:szCs w:val="24"/>
        </w:rPr>
        <w:t xml:space="preserve"> là </w:t>
      </w:r>
      <w:r w:rsidR="00F77B6A" w:rsidRPr="00B2088E">
        <w:rPr>
          <w:rFonts w:eastAsia="Times New Roman"/>
          <w:bCs/>
          <w:iCs/>
          <w:sz w:val="24"/>
          <w:szCs w:val="24"/>
        </w:rPr>
        <w:t>36</w:t>
      </w:r>
      <w:r w:rsidRPr="00B2088E">
        <w:rPr>
          <w:rFonts w:eastAsia="Times New Roman"/>
          <w:bCs/>
          <w:iCs/>
          <w:sz w:val="24"/>
          <w:szCs w:val="24"/>
        </w:rPr>
        <w:t>%</w:t>
      </w:r>
      <w:r w:rsidR="00F77B6A" w:rsidRPr="00B2088E">
        <w:rPr>
          <w:rFonts w:eastAsia="Times New Roman"/>
          <w:bCs/>
          <w:iCs/>
          <w:sz w:val="24"/>
          <w:szCs w:val="24"/>
        </w:rPr>
        <w:t xml:space="preserve"> và 28%</w:t>
      </w:r>
      <w:r w:rsidRPr="00B2088E">
        <w:rPr>
          <w:rFonts w:eastAsia="Times New Roman"/>
          <w:bCs/>
          <w:iCs/>
          <w:sz w:val="24"/>
          <w:szCs w:val="24"/>
        </w:rPr>
        <w:t>.</w:t>
      </w:r>
      <w:r w:rsidR="00CE4D53" w:rsidRPr="00B2088E">
        <w:rPr>
          <w:rFonts w:eastAsia="Times New Roman"/>
          <w:bCs/>
          <w:iCs/>
          <w:sz w:val="24"/>
          <w:szCs w:val="24"/>
        </w:rPr>
        <w:fldChar w:fldCharType="begin"/>
      </w:r>
      <w:r w:rsidR="00224A71" w:rsidRPr="00B2088E">
        <w:rPr>
          <w:rFonts w:eastAsia="Times New Roman"/>
          <w:bCs/>
          <w:iCs/>
          <w:sz w:val="24"/>
          <w:szCs w:val="24"/>
        </w:rPr>
        <w:instrText xml:space="preserve"> ADDIN ZOTERO_ITEM CSL_CITATION {"citationID":"X4EqsW2g","properties":{"formattedCitation":"\\super 9\\nosupersub{}","plainCitation":"9","noteIndex":0},"citationItems":[{"id":399,"uris":["http://zotero.org/users/10333225/items/EX4WFJMR"],"itemData":{"id":399,"type":"article-journal","abstract":"Purpose\nThe purpose of this study was to evaluate the impact of carboplatin and paclitaxel in patients with advanced previously untreated thymoma and thymic carcinoma.\n\nPatients and Methods\nWe conducted a prospective multicenter study in patients with unresectable thymoma (n = 21) or thymic carcinoma (n = 23). Patients were treated with carboplatin (area under the curve, 6) plus paclitaxel (225 mg/m2) every 3 weeks for a maximum of six cycles. The primary end point of this trial was to evaluate the objective response rate.\n\nResults\nFrom February 2001 through January 2008, 46 patients were enrolled. Thirteen patients had grade 4 or greater toxicity, mostly neutropenia. Using RECIST (Response Evaluation Criteria in Solid Tumors) 1.0 criteria, three complete responses (CRs) and six partial responses (PRs; objective response rate [ORR], 42.9%; 90% CI, 24.5% to 62.8%) were observed in the thymoma cohort; 10 patients had stable disease. For patients with thymic carcinoma, no CRs and five PRs (ORR, 21.7%; 90% CI, 9.0% to 40.4%) were observed; 12 patients had stable disease. Progression-free survival (PFS) was 16.7 (95% CI, 7.2 to 19.8) and 5.0 (95% CI, 3.0 to 8.3) months for thymoma and thymic carcinoma cohorts, respectively. To date, only seven patients (33.3%) with thymoma have died, compared with 16 patients (69.6%) with thymic carcinoma. Median survival time was 20.0 months (95% CI, 5.0 to 43.6 months) for patients with thymic carcinoma, but it has not been reached for patients with thymoma.\n\nConclusion\nCarboplatin plus paclitaxel has moderate clinical activity for patients with thymic malignancies, but this seems less than expected with anthracycline-based therapy. Patients with thymic carcinoma have poorer PFS and overall survival than patients with thymoma.","container-title":"Journal of Clinical Oncology","DOI":"10.1200/JCO.2010.32.9607","ISSN":"0732-183X","issue":"15","journalAbbreviation":"J Clin Oncol","note":"PMID: 21502559\nPMCID: PMC3107762","page":"2060-2065","source":"PubMed Central","title":"Phase II Study of Carboplatin and Paclitaxel in Advanced Thymoma and Thymic Carcinoma","volume":"29","author":[{"family":"Lemma","given":"Girum L."},{"family":"Lee","given":"Ju-Whei"},{"family":"Aisner","given":"Seena C."},{"family":"Langer","given":"Corey J."},{"family":"Tester","given":"William J."},{"family":"Johnson","given":"David H."},{"family":"Loehrer","given":"Patrick J."}],"issued":{"date-parts":[["2011",5,20]]}}}],"schema":"https://github.com/citation-style-language/schema/raw/master/csl-citation.json"} </w:instrText>
      </w:r>
      <w:r w:rsidR="00CE4D53" w:rsidRPr="00B2088E">
        <w:rPr>
          <w:rFonts w:eastAsia="Times New Roman"/>
          <w:bCs/>
          <w:iCs/>
          <w:sz w:val="24"/>
          <w:szCs w:val="24"/>
        </w:rPr>
        <w:fldChar w:fldCharType="separate"/>
      </w:r>
      <w:r w:rsidR="00224A71" w:rsidRPr="00B2088E">
        <w:rPr>
          <w:sz w:val="24"/>
          <w:szCs w:val="24"/>
          <w:vertAlign w:val="superscript"/>
        </w:rPr>
        <w:t>9</w:t>
      </w:r>
      <w:r w:rsidR="00CE4D53" w:rsidRPr="00B2088E">
        <w:rPr>
          <w:rFonts w:eastAsia="Times New Roman"/>
          <w:bCs/>
          <w:iCs/>
          <w:sz w:val="24"/>
          <w:szCs w:val="24"/>
        </w:rPr>
        <w:fldChar w:fldCharType="end"/>
      </w:r>
      <w:r w:rsidR="00224A71" w:rsidRPr="00B2088E">
        <w:rPr>
          <w:rFonts w:eastAsia="Times New Roman"/>
          <w:bCs/>
          <w:iCs/>
          <w:sz w:val="24"/>
          <w:szCs w:val="24"/>
        </w:rPr>
        <w:t xml:space="preserve"> </w:t>
      </w:r>
      <w:r w:rsidRPr="00B2088E">
        <w:rPr>
          <w:rFonts w:eastAsia="Times New Roman"/>
          <w:bCs/>
          <w:iCs/>
          <w:sz w:val="24"/>
          <w:szCs w:val="24"/>
        </w:rPr>
        <w:t>Bệnh giữ nguyên trong 3</w:t>
      </w:r>
      <w:r w:rsidR="00F77B6A" w:rsidRPr="00B2088E">
        <w:rPr>
          <w:rFonts w:eastAsia="Times New Roman"/>
          <w:bCs/>
          <w:iCs/>
          <w:sz w:val="24"/>
          <w:szCs w:val="24"/>
        </w:rPr>
        <w:t>0</w:t>
      </w:r>
      <w:r w:rsidRPr="00B2088E">
        <w:rPr>
          <w:rFonts w:eastAsia="Times New Roman"/>
          <w:bCs/>
          <w:iCs/>
          <w:sz w:val="24"/>
          <w:szCs w:val="24"/>
        </w:rPr>
        <w:t xml:space="preserve">% trường hợp và chỉ có </w:t>
      </w:r>
      <w:r w:rsidR="00F77B6A" w:rsidRPr="00B2088E">
        <w:rPr>
          <w:rFonts w:eastAsia="Times New Roman"/>
          <w:bCs/>
          <w:iCs/>
          <w:sz w:val="24"/>
          <w:szCs w:val="24"/>
        </w:rPr>
        <w:t>25</w:t>
      </w:r>
      <w:r w:rsidRPr="00B2088E">
        <w:rPr>
          <w:rFonts w:eastAsia="Times New Roman"/>
          <w:bCs/>
          <w:iCs/>
          <w:sz w:val="24"/>
          <w:szCs w:val="24"/>
        </w:rPr>
        <w:t>% tiến triển</w:t>
      </w:r>
      <w:r w:rsidR="00F77B6A" w:rsidRPr="00B2088E">
        <w:rPr>
          <w:rFonts w:eastAsia="Times New Roman"/>
          <w:bCs/>
          <w:iCs/>
          <w:sz w:val="24"/>
          <w:szCs w:val="24"/>
        </w:rPr>
        <w:t xml:space="preserve"> trong quá trình điều trị</w:t>
      </w:r>
      <w:r w:rsidRPr="00B2088E">
        <w:rPr>
          <w:rFonts w:eastAsia="Times New Roman"/>
          <w:bCs/>
          <w:iCs/>
          <w:sz w:val="24"/>
          <w:szCs w:val="24"/>
        </w:rPr>
        <w:t>, cho thấy khả năng kiểm soát bệnh của phác đồ paclitaxel - carboplatin đối với ung thư biểu mô tuyến ức. Tuy nhiên, không có bệnh nhân nào đạt được đáp ứng ứng hoàn toàn, làm nổi bật những thách thức tồn tại trong việc quản lý và điều trị ung thư biểu mô tuyến ức giai đoạn muộn</w:t>
      </w:r>
      <w:r w:rsidR="00F77B6A" w:rsidRPr="00B2088E">
        <w:rPr>
          <w:rFonts w:eastAsia="Times New Roman"/>
          <w:bCs/>
          <w:iCs/>
          <w:sz w:val="24"/>
          <w:szCs w:val="24"/>
        </w:rPr>
        <w:t>.</w:t>
      </w:r>
    </w:p>
    <w:p w:rsidR="00F77B6A" w:rsidRPr="00B2088E" w:rsidRDefault="003A7824" w:rsidP="00AB0FAF">
      <w:pPr>
        <w:spacing w:after="0" w:line="240" w:lineRule="auto"/>
        <w:ind w:left="360"/>
        <w:jc w:val="both"/>
        <w:rPr>
          <w:rFonts w:eastAsia="Times New Roman"/>
          <w:bCs/>
          <w:iCs/>
          <w:sz w:val="24"/>
          <w:szCs w:val="24"/>
        </w:rPr>
      </w:pPr>
      <w:r w:rsidRPr="00B2088E">
        <w:rPr>
          <w:rFonts w:eastAsia="Times New Roman"/>
          <w:bCs/>
          <w:iCs/>
          <w:sz w:val="24"/>
          <w:szCs w:val="24"/>
        </w:rPr>
        <w:t xml:space="preserve">     </w:t>
      </w:r>
      <w:r w:rsidR="00F77B6A" w:rsidRPr="00B2088E">
        <w:rPr>
          <w:rFonts w:eastAsia="Times New Roman"/>
          <w:bCs/>
          <w:iCs/>
          <w:sz w:val="24"/>
          <w:szCs w:val="24"/>
        </w:rPr>
        <w:t>Thời gian sống không tiến triển trung vị là 8,5 ± 1,0 tháng phù hợp với kết quả từ các nghiên cứu trước đây chẳng hạn như nghiên cứu của Furugen (2011) đã báo cáo PFS là 8,6 tháng, của Igawa (2010) là 7,9 tháng, của Hirai (2015) là 7,5 tháng.</w:t>
      </w:r>
      <w:r w:rsidR="00CE4D53" w:rsidRPr="00B2088E">
        <w:rPr>
          <w:rFonts w:eastAsia="Times New Roman"/>
          <w:bCs/>
          <w:iCs/>
          <w:sz w:val="24"/>
          <w:szCs w:val="24"/>
        </w:rPr>
        <w:fldChar w:fldCharType="begin"/>
      </w:r>
      <w:r w:rsidR="00224A71" w:rsidRPr="00B2088E">
        <w:rPr>
          <w:rFonts w:eastAsia="Times New Roman"/>
          <w:bCs/>
          <w:iCs/>
          <w:sz w:val="24"/>
          <w:szCs w:val="24"/>
        </w:rPr>
        <w:instrText xml:space="preserve"> ADDIN ZOTERO_ITEM CSL_CITATION {"citationID":"sLAQMpn2","properties":{"formattedCitation":"\\super 7\\nosupersub{}","plainCitation":"7","noteIndex":0},"citationItems":[{"id":434,"uris":["http://zotero.org/users/10333225/items/MY4ETKYD"],"itemData":{"id":434,"type":"article-journal","abstract":"BACKGROUND: Thymic carcinoma (TC) is an exceptionally rare tumor, which has a very poor prognosis differing from thymoma. Till date, there has been no report of any results of clinical trials focusing on TC. The role of non-anthracycline-based chemotherapy has not been elucidated since the previous studies included a relatively small number of TC patients. This single-arm study evaluated carboplatin and paclitaxel (CbP) in chemotherapy-naive patients with advanced TC.\nPATIENTS AND METHODS: The study treatment consisted of carboplatin (area under the curve 6) and paclitaxel (200 mg/m(2)) every 3 weeks for a maximum of six cycles. The primary end point was objective response rate (ORR) by independent review. The secondary end points included overall survival (OS), progression-free survival (PFS), and safety. Based on the SWOG 2-stage design, the planned sample size of 40 patients was determined to reject the ORR of 20% under the expectation of 40% with a power of 0.85 and a type I error of 0.05.\nRESULTS: Forty patients from 21 centers were enrolled for this study from May 2008 to November 2010. Of the 39 patients evaluable for analysis, 36 were pathologically diagnosed by independent review, and 97% patients were eventually TC. There was 1/13 complete/partial responses with an ORR of 36% (95% confidence interval 21%-53%; P = 0.031). The median PFS was 7.5 (6.2-12.3) months, while OS did not reach the median value. Major adverse event was grade 3-4 neutropenia in 34 patients (87%). There was no treatment-related death.\nCONCLUSIONS: In this largest trial with TC, CbP showed promising efficacy in advanced TC when compared with anthracycline-based chemotherapy, which is the current standard treatment of thymic neoplasm. Our results established that CbP, one of the standard treatments for non-small-cell lung cancer, might be an option as a chemotherapy regimen for TC.","container-title":"Annals of Oncology: Official Journal of the European Society for Medical Oncology","DOI":"10.1093/annonc/mdu541","ISSN":"1569-8041","issue":"2","journalAbbreviation":"Ann Oncol","language":"eng","note":"PMID: 25403584","page":"363-368","source":"PubMed","title":"A multicenter phase II study of carboplatin and paclitaxel for advanced thymic carcinoma: WJOG4207L","title-short":"A multicenter phase II study of carboplatin and paclitaxel for advanced thymic carcinoma","volume":"26","author":[{"family":"Hirai","given":"F."},{"family":"Yamanaka","given":"T."},{"family":"Taguchi","given":"K."},{"family":"Daga","given":"H."},{"family":"Ono","given":"A."},{"family":"Tanaka","given":"K."},{"family":"Kogure","given":"Y."},{"family":"Shimizu","given":"J."},{"family":"Kimura","given":"T."},{"family":"Fukuoka","given":"J."},{"family":"Iwamoto","given":"Y."},{"family":"Sasaki","given":"H."},{"family":"Takeda","given":"K."},{"family":"Seto","given":"T."},{"family":"Ichinose","given":"Y."},{"family":"Nakagawa","given":"K."},{"family":"Nakanishi","given":"Y."},{"literal":"West Japan Oncology Group"}],"issued":{"date-parts":[["2015",2]]}}}],"schema":"https://github.com/citation-style-language/schema/raw/master/csl-citation.json"} </w:instrText>
      </w:r>
      <w:r w:rsidR="00CE4D53" w:rsidRPr="00B2088E">
        <w:rPr>
          <w:rFonts w:eastAsia="Times New Roman"/>
          <w:bCs/>
          <w:iCs/>
          <w:sz w:val="24"/>
          <w:szCs w:val="24"/>
        </w:rPr>
        <w:fldChar w:fldCharType="separate"/>
      </w:r>
      <w:r w:rsidR="00224A71" w:rsidRPr="00B2088E">
        <w:rPr>
          <w:sz w:val="24"/>
          <w:szCs w:val="24"/>
          <w:vertAlign w:val="superscript"/>
        </w:rPr>
        <w:t>7</w:t>
      </w:r>
      <w:r w:rsidR="00CE4D53" w:rsidRPr="00B2088E">
        <w:rPr>
          <w:rFonts w:eastAsia="Times New Roman"/>
          <w:bCs/>
          <w:iCs/>
          <w:sz w:val="24"/>
          <w:szCs w:val="24"/>
        </w:rPr>
        <w:fldChar w:fldCharType="end"/>
      </w:r>
    </w:p>
    <w:p w:rsidR="000810E1" w:rsidRPr="00B2088E" w:rsidRDefault="000810E1" w:rsidP="00AB0FAF">
      <w:pPr>
        <w:spacing w:after="0" w:line="240" w:lineRule="auto"/>
        <w:ind w:left="360"/>
        <w:jc w:val="both"/>
        <w:rPr>
          <w:rFonts w:eastAsia="Times New Roman"/>
          <w:bCs/>
          <w:iCs/>
          <w:sz w:val="24"/>
          <w:szCs w:val="24"/>
        </w:rPr>
      </w:pPr>
      <w:r w:rsidRPr="00B2088E">
        <w:rPr>
          <w:rFonts w:eastAsia="Times New Roman"/>
          <w:bCs/>
          <w:iCs/>
          <w:sz w:val="24"/>
          <w:szCs w:val="24"/>
        </w:rPr>
        <w:t xml:space="preserve">    Trước đâ</w:t>
      </w:r>
      <w:r w:rsidR="00D97114" w:rsidRPr="00B2088E">
        <w:rPr>
          <w:rFonts w:eastAsia="Times New Roman"/>
          <w:bCs/>
          <w:iCs/>
          <w:sz w:val="24"/>
          <w:szCs w:val="24"/>
        </w:rPr>
        <w:t>y</w:t>
      </w:r>
      <w:r w:rsidRPr="00B2088E">
        <w:rPr>
          <w:rFonts w:eastAsia="Times New Roman"/>
          <w:bCs/>
          <w:iCs/>
          <w:sz w:val="24"/>
          <w:szCs w:val="24"/>
        </w:rPr>
        <w:t>, phác đồ hóa trị có anthracycline là tiêu chuẩn trong điều trị ung thư tuyến ức nói chung dựa trên nhiều thử nghiệm lâm sàng. Loehrer và cộng sự đã báo cáo tỷ lệ đáp ứng chung là 50% và thời gian sống trung vị là 37,7 tháng trong 29 bệnh nhân mắc u tuyến ức ác tính và ung thư biểu mô tuyến ức di căn hoặc tái phát tại chỗ đã được điều trị bằng PAC.</w:t>
      </w:r>
      <w:r w:rsidR="00CE4D53" w:rsidRPr="00B2088E">
        <w:rPr>
          <w:rFonts w:eastAsia="Times New Roman"/>
          <w:bCs/>
          <w:iCs/>
          <w:sz w:val="24"/>
          <w:szCs w:val="24"/>
        </w:rPr>
        <w:fldChar w:fldCharType="begin"/>
      </w:r>
      <w:r w:rsidR="009E5D95" w:rsidRPr="00B2088E">
        <w:rPr>
          <w:rFonts w:eastAsia="Times New Roman"/>
          <w:bCs/>
          <w:iCs/>
          <w:sz w:val="24"/>
          <w:szCs w:val="24"/>
        </w:rPr>
        <w:instrText xml:space="preserve"> ADDIN ZOTERO_ITEM CSL_CITATION {"citationID":"XuKguYEr","properties":{"formattedCitation":"\\super 10\\nosupersub{}","plainCitation":"10","noteIndex":0},"citationItems":[{"id":440,"uris":["http://zotero.org/users/10333225/items/I3FDHX2E"],"itemData":{"id":440,"type":"article-journal","abstract":"PURPOSE: The purpose of this study was to evaluate the impact of cisplatin, doxorubicin, and cyclophosphamide (PAC) in patients with advanced thymoma with respect to response rate, duration of remission, and overall survival.\nPATIENTS AND METHODS: Assessable patients with thymoma (n = 29) or thymic carcinoma (n = 1) with metastatic or locally progressive recurrent disease following radiotherapy were treated with intravenous cisplatin (50 mg/m2), doxorubicin (50 mg/m2), and cyclophosphamide (500 mg/m2) with normal saline hydration. Courses were repeated every 3 weeks for a maximum of eight cycles of therapy.\nRESULTS: Toxicity, which was primarily hematologic, was mild, with only one patient developing a fever associated with neutropenia. Three complete responses (CRs) and 12 partial responses (PRs) were observed (CR+PR rate, 50%; 95% confidence interval, 31.3% to 68.7%). Ten patients had stable disease. The median duration of response was 11.8 months (range, 0.9 to 70.5+), the time to treatment failure 18.4 months (range, 0.8 to 91.9+), and median survival time 37.7 months (range, 2 to 91.9+).\nCONCLUSION: This trial demonstrates that objective response rates and prolonged survival can be achieved in patients with advanced thymoma.","container-title":"Journal of Clinical Oncology: Official Journal of the American Society of Clinical Oncology","DOI":"10.1200/JCO.1994.12.6.1164","ISSN":"0732-183X","issue":"6","journalAbbreviation":"J Clin Oncol","language":"eng","note":"PMID: 8201378","page":"1164-1168","source":"PubMed","title":"Cisplatin plus doxorubicin plus cyclophosphamide in metastatic or recurrent thymoma: final results of an intergroup trial. The Eastern Cooperative Oncology Group, Southwest Oncology Group, and Southeastern Cancer Study Group","title-short":"Cisplatin plus doxorubicin plus cyclophosphamide in metastatic or recurrent thymoma","volume":"12","author":[{"family":"Loehrer","given":"P. J."},{"family":"Kim","given":"K."},{"family":"Aisner","given":"S. C."},{"family":"Livingston","given":"R."},{"family":"Einhorn","given":"L. H."},{"family":"Johnson","given":"D."},{"family":"Blum","given":"R."}],"issued":{"date-parts":[["1994",6]]}}}],"schema":"https://github.com/citation-style-language/schema/raw/master/csl-citation.json"} </w:instrText>
      </w:r>
      <w:r w:rsidR="00CE4D53" w:rsidRPr="00B2088E">
        <w:rPr>
          <w:rFonts w:eastAsia="Times New Roman"/>
          <w:bCs/>
          <w:iCs/>
          <w:sz w:val="24"/>
          <w:szCs w:val="24"/>
        </w:rPr>
        <w:fldChar w:fldCharType="separate"/>
      </w:r>
      <w:r w:rsidR="009E5D95" w:rsidRPr="00B2088E">
        <w:rPr>
          <w:sz w:val="24"/>
          <w:szCs w:val="24"/>
          <w:vertAlign w:val="superscript"/>
        </w:rPr>
        <w:t>10</w:t>
      </w:r>
      <w:r w:rsidR="00CE4D53" w:rsidRPr="00B2088E">
        <w:rPr>
          <w:rFonts w:eastAsia="Times New Roman"/>
          <w:bCs/>
          <w:iCs/>
          <w:sz w:val="24"/>
          <w:szCs w:val="24"/>
        </w:rPr>
        <w:fldChar w:fldCharType="end"/>
      </w:r>
      <w:r w:rsidRPr="00B2088E">
        <w:rPr>
          <w:rFonts w:eastAsia="Times New Roman"/>
          <w:bCs/>
          <w:iCs/>
          <w:sz w:val="24"/>
          <w:szCs w:val="24"/>
        </w:rPr>
        <w:t xml:space="preserve"> Tuy nhiên các độc tính liên quan đến cơ tim, tiền sử bệnh nhân xạ trị trung thất trước đó, bệnh nhân cao tuổi và bệnh phổi hợp đã hạn chế sử dụng phác đồ này, và các phác đồ không anthracycline được nghiên cứu nhiều trong thời gian gần đây, trong đó hóa chất Paclitaxel- Carboplatin được sử dụng rộng rãi trong điều trị</w:t>
      </w:r>
      <w:r w:rsidR="00D97114" w:rsidRPr="00B2088E">
        <w:rPr>
          <w:rFonts w:eastAsia="Times New Roman"/>
          <w:bCs/>
          <w:iCs/>
          <w:sz w:val="24"/>
          <w:szCs w:val="24"/>
        </w:rPr>
        <w:t>, mặc dù tỉ lệ đáp ứng chưa cải thiện hơn so với các điều trị kinh điển.</w:t>
      </w:r>
    </w:p>
    <w:p w:rsidR="00F515DC" w:rsidRPr="00B2088E" w:rsidRDefault="00F515DC" w:rsidP="00AB0FAF">
      <w:pPr>
        <w:spacing w:after="0" w:line="240" w:lineRule="auto"/>
        <w:ind w:left="360"/>
        <w:jc w:val="both"/>
        <w:rPr>
          <w:rFonts w:eastAsia="Times New Roman"/>
          <w:bCs/>
          <w:iCs/>
          <w:sz w:val="24"/>
          <w:szCs w:val="24"/>
        </w:rPr>
      </w:pPr>
      <w:r w:rsidRPr="00B2088E">
        <w:rPr>
          <w:rFonts w:eastAsia="Times New Roman"/>
          <w:bCs/>
          <w:iCs/>
          <w:sz w:val="24"/>
          <w:szCs w:val="24"/>
        </w:rPr>
        <w:t xml:space="preserve">      Phác đồ paclitaxel - carboplatin cho thấy mức độ độc tính có thể kiểm soát. Độc tính về huyết học chủ yếu là thiếu máu và giảm bạch cầu, đa phần ở độ 1 và 2, không có trường hợp sốt giảm bạch cầu nào được báo cáo. Giảm tiểu cầu ít gặp hơn và quan trọng là không ghi nhận trường hợp chảy máu nào. Với các độc tính không phải huyết học, đặc biệt là độc tính thần kinh ngoại biên, chủ yếu gặp ở cấp độ 1 và 2, củng cố mức độ an toàn có thể chấp nhận được của phác đồ điều trị. So sánh với các nghiên cứu hiện có, chẳng hạn như nghiên cứu đa trung tâm giai đoạn II của Hirai (2015), hay Song (2014) cho thấy mô hình độc tính tương tự.</w:t>
      </w:r>
      <w:r w:rsidR="00CE4D53" w:rsidRPr="00B2088E">
        <w:rPr>
          <w:rFonts w:eastAsia="Times New Roman"/>
          <w:bCs/>
          <w:iCs/>
          <w:sz w:val="24"/>
          <w:szCs w:val="24"/>
        </w:rPr>
        <w:fldChar w:fldCharType="begin"/>
      </w:r>
      <w:r w:rsidR="00224A71" w:rsidRPr="00B2088E">
        <w:rPr>
          <w:rFonts w:eastAsia="Times New Roman"/>
          <w:bCs/>
          <w:iCs/>
          <w:sz w:val="24"/>
          <w:szCs w:val="24"/>
        </w:rPr>
        <w:instrText xml:space="preserve"> ADDIN ZOTERO_ITEM CSL_CITATION {"citationID":"0NTBi9Fn","properties":{"formattedCitation":"\\super 8\\nosupersub{}","plainCitation":"8","noteIndex":0},"citationItems":[{"id":436,"uris":["http://zotero.org/users/10333225/items/864YZ4A9"],"itemData":{"id":436,"type":"article-journal","abstract":"Chemotherapy with paclitaxel plus carboplatin for relapsed advanced thymic carcinoma","container-title":"Journal of Thoracic Disease","DOI":"10.3978/j.issn.2072-1439.2014.11.18","ISSN":"2077-6624, 2072-1439","issue":"12","language":"en","note":"publisher: AME Publishing Company","source":"jtd.amegroups.org","title":"Chemotherapy with paclitaxel plus carboplatin for relapsed advanced thymic carcinoma","URL":"https://jtd.amegroups.org/article/view/3619","volume":"6","author":[{"family":"Song","given":"Zhengbo"}],"accessed":{"date-parts":[["2024",7,28]]},"issued":{"date-parts":[["2014",12]]}}}],"schema":"https://github.com/citation-style-language/schema/raw/master/csl-citation.json"} </w:instrText>
      </w:r>
      <w:r w:rsidR="00CE4D53" w:rsidRPr="00B2088E">
        <w:rPr>
          <w:rFonts w:eastAsia="Times New Roman"/>
          <w:bCs/>
          <w:iCs/>
          <w:sz w:val="24"/>
          <w:szCs w:val="24"/>
        </w:rPr>
        <w:fldChar w:fldCharType="separate"/>
      </w:r>
      <w:r w:rsidR="00224A71" w:rsidRPr="00B2088E">
        <w:rPr>
          <w:sz w:val="24"/>
          <w:szCs w:val="24"/>
          <w:vertAlign w:val="superscript"/>
        </w:rPr>
        <w:t>8</w:t>
      </w:r>
      <w:r w:rsidR="00CE4D53" w:rsidRPr="00B2088E">
        <w:rPr>
          <w:rFonts w:eastAsia="Times New Roman"/>
          <w:bCs/>
          <w:iCs/>
          <w:sz w:val="24"/>
          <w:szCs w:val="24"/>
        </w:rPr>
        <w:fldChar w:fldCharType="end"/>
      </w:r>
      <w:r w:rsidR="00224A71" w:rsidRPr="00B2088E">
        <w:rPr>
          <w:rFonts w:eastAsia="Times New Roman"/>
          <w:bCs/>
          <w:iCs/>
          <w:sz w:val="24"/>
          <w:szCs w:val="24"/>
        </w:rPr>
        <w:t xml:space="preserve"> </w:t>
      </w:r>
      <w:r w:rsidRPr="00B2088E">
        <w:rPr>
          <w:rFonts w:eastAsia="Times New Roman"/>
          <w:bCs/>
          <w:iCs/>
          <w:sz w:val="24"/>
          <w:szCs w:val="24"/>
        </w:rPr>
        <w:t>Đáng chú ý, việc không ghi nhận độc tính độ 4 nhấn mạnh khả năng dung nạp chung của phác đồ, một yếu tố quan trọng trong điều trị bệnh nhân ở giai đoạn muộn, những người có thể dễ bị tổn thương hơn trước các tác dụng không mong muốn liên quan đến điều trị.</w:t>
      </w:r>
    </w:p>
    <w:p w:rsidR="00DA34E5" w:rsidRPr="00B2088E" w:rsidRDefault="00F515DC" w:rsidP="00DA34E5">
      <w:pPr>
        <w:pStyle w:val="ListParagraph"/>
        <w:numPr>
          <w:ilvl w:val="0"/>
          <w:numId w:val="12"/>
        </w:numPr>
        <w:spacing w:after="0" w:line="240" w:lineRule="auto"/>
        <w:jc w:val="both"/>
        <w:rPr>
          <w:rFonts w:eastAsia="Times New Roman"/>
          <w:b/>
          <w:iCs/>
          <w:sz w:val="24"/>
          <w:szCs w:val="24"/>
        </w:rPr>
      </w:pPr>
      <w:r w:rsidRPr="00B2088E">
        <w:rPr>
          <w:rFonts w:eastAsia="Times New Roman"/>
          <w:b/>
          <w:iCs/>
          <w:sz w:val="24"/>
          <w:szCs w:val="24"/>
        </w:rPr>
        <w:t>KẾT LUẬN</w:t>
      </w:r>
    </w:p>
    <w:p w:rsidR="00DA34E5" w:rsidRPr="001046B5" w:rsidRDefault="00DA34E5" w:rsidP="00DA34E5">
      <w:pPr>
        <w:spacing w:after="0" w:line="240" w:lineRule="auto"/>
        <w:ind w:left="360"/>
        <w:jc w:val="both"/>
        <w:rPr>
          <w:rFonts w:eastAsia="Times New Roman"/>
          <w:b/>
          <w:bCs/>
          <w:iCs/>
          <w:sz w:val="24"/>
          <w:szCs w:val="24"/>
        </w:rPr>
      </w:pPr>
      <w:r w:rsidRPr="001046B5">
        <w:rPr>
          <w:rFonts w:eastAsia="Times New Roman"/>
          <w:b/>
          <w:bCs/>
          <w:iCs/>
          <w:sz w:val="24"/>
          <w:szCs w:val="24"/>
        </w:rPr>
        <w:t xml:space="preserve">5.1. Đặc điểm lâm </w:t>
      </w:r>
      <w:r w:rsidR="001046B5">
        <w:rPr>
          <w:rFonts w:eastAsia="Times New Roman"/>
          <w:b/>
          <w:bCs/>
          <w:iCs/>
          <w:sz w:val="24"/>
          <w:szCs w:val="24"/>
        </w:rPr>
        <w:t>sàng</w:t>
      </w:r>
      <w:r w:rsidRPr="001046B5">
        <w:rPr>
          <w:rFonts w:eastAsia="Times New Roman"/>
          <w:b/>
          <w:bCs/>
          <w:iCs/>
          <w:sz w:val="24"/>
          <w:szCs w:val="24"/>
        </w:rPr>
        <w:t>, cận lâm sàng</w:t>
      </w:r>
    </w:p>
    <w:p w:rsidR="00F515DC" w:rsidRPr="00B2088E" w:rsidRDefault="006472D2" w:rsidP="006472D2">
      <w:pPr>
        <w:pStyle w:val="ListParagraph"/>
        <w:numPr>
          <w:ilvl w:val="0"/>
          <w:numId w:val="16"/>
        </w:numPr>
        <w:spacing w:after="0" w:line="240" w:lineRule="auto"/>
        <w:jc w:val="both"/>
        <w:rPr>
          <w:rFonts w:eastAsia="Times New Roman"/>
          <w:b/>
          <w:iCs/>
          <w:sz w:val="24"/>
          <w:szCs w:val="24"/>
        </w:rPr>
      </w:pPr>
      <w:r w:rsidRPr="00B2088E">
        <w:rPr>
          <w:color w:val="000000" w:themeColor="text1"/>
          <w:sz w:val="24"/>
          <w:szCs w:val="24"/>
        </w:rPr>
        <w:lastRenderedPageBreak/>
        <w:t>Tuổi trung bình: 56</w:t>
      </w:r>
      <w:r w:rsidRPr="00B2088E">
        <w:rPr>
          <w:color w:val="000000" w:themeColor="text1"/>
          <w:sz w:val="24"/>
          <w:szCs w:val="24"/>
          <w:lang w:val="vi-VN"/>
        </w:rPr>
        <w:t>,4</w:t>
      </w:r>
      <w:r w:rsidRPr="00B2088E">
        <w:rPr>
          <w:color w:val="000000" w:themeColor="text1"/>
          <w:sz w:val="24"/>
          <w:szCs w:val="24"/>
        </w:rPr>
        <w:t xml:space="preserve"> ± 8,7 tuổi, nam (65%), nữ (35%), </w:t>
      </w:r>
      <w:r w:rsidRPr="00B2088E">
        <w:rPr>
          <w:bCs/>
          <w:iCs/>
          <w:color w:val="000000" w:themeColor="text1"/>
          <w:sz w:val="24"/>
          <w:szCs w:val="24"/>
        </w:rPr>
        <w:t>ECOG PS</w:t>
      </w:r>
      <w:r w:rsidRPr="00B2088E">
        <w:rPr>
          <w:bCs/>
          <w:iCs/>
          <w:color w:val="000000" w:themeColor="text1"/>
          <w:sz w:val="24"/>
          <w:szCs w:val="24"/>
          <w:lang w:val="vi-VN"/>
        </w:rPr>
        <w:t xml:space="preserve"> 0 chiếm </w:t>
      </w:r>
      <w:r w:rsidRPr="00B2088E">
        <w:rPr>
          <w:bCs/>
          <w:iCs/>
          <w:color w:val="000000" w:themeColor="text1"/>
          <w:sz w:val="24"/>
          <w:szCs w:val="24"/>
        </w:rPr>
        <w:t>75</w:t>
      </w:r>
      <w:r w:rsidRPr="00B2088E">
        <w:rPr>
          <w:bCs/>
          <w:iCs/>
          <w:color w:val="000000" w:themeColor="text1"/>
          <w:sz w:val="24"/>
          <w:szCs w:val="24"/>
          <w:lang w:val="vi-VN"/>
        </w:rPr>
        <w:t>%</w:t>
      </w:r>
      <w:r w:rsidRPr="00B2088E">
        <w:rPr>
          <w:bCs/>
          <w:iCs/>
          <w:color w:val="000000" w:themeColor="text1"/>
          <w:sz w:val="24"/>
          <w:szCs w:val="24"/>
        </w:rPr>
        <w:t>, PS</w:t>
      </w:r>
      <w:r w:rsidRPr="00B2088E">
        <w:rPr>
          <w:bCs/>
          <w:iCs/>
          <w:color w:val="000000" w:themeColor="text1"/>
          <w:sz w:val="24"/>
          <w:szCs w:val="24"/>
          <w:lang w:val="vi-VN"/>
        </w:rPr>
        <w:t xml:space="preserve"> </w:t>
      </w:r>
      <w:r w:rsidRPr="00B2088E">
        <w:rPr>
          <w:bCs/>
          <w:iCs/>
          <w:color w:val="000000" w:themeColor="text1"/>
          <w:sz w:val="24"/>
          <w:szCs w:val="24"/>
        </w:rPr>
        <w:t>1</w:t>
      </w:r>
      <w:r w:rsidRPr="00B2088E">
        <w:rPr>
          <w:bCs/>
          <w:iCs/>
          <w:color w:val="000000" w:themeColor="text1"/>
          <w:sz w:val="24"/>
          <w:szCs w:val="24"/>
          <w:lang w:val="vi-VN"/>
        </w:rPr>
        <w:t xml:space="preserve"> là </w:t>
      </w:r>
      <w:r w:rsidRPr="00B2088E">
        <w:rPr>
          <w:bCs/>
          <w:iCs/>
          <w:color w:val="000000" w:themeColor="text1"/>
          <w:sz w:val="24"/>
          <w:szCs w:val="24"/>
        </w:rPr>
        <w:t>35</w:t>
      </w:r>
      <w:r w:rsidRPr="00B2088E">
        <w:rPr>
          <w:bCs/>
          <w:iCs/>
          <w:color w:val="000000" w:themeColor="text1"/>
          <w:sz w:val="24"/>
          <w:szCs w:val="24"/>
          <w:lang w:val="vi-VN"/>
        </w:rPr>
        <w:t>%</w:t>
      </w:r>
      <w:r w:rsidRPr="00B2088E">
        <w:rPr>
          <w:bCs/>
          <w:iCs/>
          <w:color w:val="000000" w:themeColor="text1"/>
          <w:sz w:val="24"/>
          <w:szCs w:val="24"/>
        </w:rPr>
        <w:t>.</w:t>
      </w:r>
    </w:p>
    <w:p w:rsidR="006472D2" w:rsidRPr="00B2088E" w:rsidRDefault="006472D2" w:rsidP="006472D2">
      <w:pPr>
        <w:pStyle w:val="ListParagraph"/>
        <w:numPr>
          <w:ilvl w:val="0"/>
          <w:numId w:val="16"/>
        </w:numPr>
        <w:spacing w:after="0" w:line="240" w:lineRule="auto"/>
        <w:jc w:val="both"/>
        <w:rPr>
          <w:rFonts w:eastAsia="Times New Roman"/>
          <w:b/>
          <w:iCs/>
          <w:sz w:val="24"/>
          <w:szCs w:val="24"/>
        </w:rPr>
      </w:pPr>
      <w:r w:rsidRPr="00B2088E">
        <w:rPr>
          <w:bCs/>
          <w:iCs/>
          <w:color w:val="000000" w:themeColor="text1"/>
          <w:sz w:val="24"/>
          <w:szCs w:val="24"/>
        </w:rPr>
        <w:t>Mô bệnh học chủ yếu là Carcinoma tế bảo vảy (70%)</w:t>
      </w:r>
    </w:p>
    <w:p w:rsidR="006472D2" w:rsidRPr="00B2088E" w:rsidRDefault="006472D2" w:rsidP="006472D2">
      <w:pPr>
        <w:pStyle w:val="ListParagraph"/>
        <w:numPr>
          <w:ilvl w:val="0"/>
          <w:numId w:val="16"/>
        </w:numPr>
        <w:spacing w:after="0" w:line="240" w:lineRule="auto"/>
        <w:jc w:val="both"/>
        <w:rPr>
          <w:rFonts w:eastAsia="Times New Roman"/>
          <w:b/>
          <w:iCs/>
          <w:sz w:val="24"/>
          <w:szCs w:val="24"/>
        </w:rPr>
      </w:pPr>
      <w:r w:rsidRPr="00B2088E">
        <w:rPr>
          <w:bCs/>
          <w:iCs/>
          <w:color w:val="000000" w:themeColor="text1"/>
          <w:sz w:val="24"/>
          <w:szCs w:val="24"/>
        </w:rPr>
        <w:t>Giai đoạn IVA chiếm 40%, IVB chiếm 60%</w:t>
      </w:r>
    </w:p>
    <w:p w:rsidR="006472D2" w:rsidRPr="00B2088E" w:rsidRDefault="006472D2" w:rsidP="006472D2">
      <w:pPr>
        <w:pStyle w:val="ListParagraph"/>
        <w:numPr>
          <w:ilvl w:val="0"/>
          <w:numId w:val="16"/>
        </w:numPr>
        <w:spacing w:after="0" w:line="240" w:lineRule="auto"/>
        <w:jc w:val="both"/>
        <w:rPr>
          <w:rFonts w:eastAsia="Times New Roman"/>
          <w:b/>
          <w:iCs/>
          <w:sz w:val="24"/>
          <w:szCs w:val="24"/>
        </w:rPr>
      </w:pPr>
      <w:r w:rsidRPr="00B2088E">
        <w:rPr>
          <w:bCs/>
          <w:iCs/>
          <w:color w:val="000000" w:themeColor="text1"/>
          <w:sz w:val="24"/>
          <w:szCs w:val="24"/>
        </w:rPr>
        <w:t>Ghi nhận 1 trường hợp bị nhược cơ trước điều trị</w:t>
      </w:r>
    </w:p>
    <w:p w:rsidR="006472D2" w:rsidRPr="001046B5" w:rsidRDefault="006472D2" w:rsidP="006472D2">
      <w:pPr>
        <w:spacing w:after="0" w:line="240" w:lineRule="auto"/>
        <w:jc w:val="both"/>
        <w:rPr>
          <w:rFonts w:eastAsia="Times New Roman"/>
          <w:b/>
          <w:iCs/>
          <w:sz w:val="24"/>
          <w:szCs w:val="24"/>
        </w:rPr>
      </w:pPr>
      <w:r w:rsidRPr="00B2088E">
        <w:rPr>
          <w:rFonts w:eastAsia="Times New Roman"/>
          <w:b/>
          <w:iCs/>
          <w:sz w:val="24"/>
          <w:szCs w:val="24"/>
        </w:rPr>
        <w:t xml:space="preserve">      </w:t>
      </w:r>
      <w:r w:rsidRPr="001046B5">
        <w:rPr>
          <w:rFonts w:eastAsia="Times New Roman"/>
          <w:b/>
          <w:iCs/>
          <w:sz w:val="24"/>
          <w:szCs w:val="24"/>
        </w:rPr>
        <w:t>5.2. Kết quả điều trị</w:t>
      </w:r>
    </w:p>
    <w:p w:rsidR="00BB6C44" w:rsidRPr="00B2088E" w:rsidRDefault="006472D2" w:rsidP="006472D2">
      <w:pPr>
        <w:pStyle w:val="ListParagraph"/>
        <w:numPr>
          <w:ilvl w:val="0"/>
          <w:numId w:val="20"/>
        </w:numPr>
        <w:spacing w:after="0" w:line="240" w:lineRule="auto"/>
        <w:jc w:val="both"/>
        <w:rPr>
          <w:rFonts w:eastAsia="Times New Roman"/>
          <w:bCs/>
          <w:iCs/>
          <w:sz w:val="24"/>
          <w:szCs w:val="24"/>
        </w:rPr>
      </w:pPr>
      <w:r w:rsidRPr="00B2088E">
        <w:rPr>
          <w:rFonts w:eastAsia="Times New Roman"/>
          <w:bCs/>
          <w:iCs/>
          <w:sz w:val="24"/>
          <w:szCs w:val="24"/>
        </w:rPr>
        <w:t xml:space="preserve"> Tỉ lệ đáp ứng: 45% (không có trường hợp đáp ứng hoàn toàn), tỉ lệ kiểm soát bệnh 75%</w:t>
      </w:r>
    </w:p>
    <w:p w:rsidR="006472D2" w:rsidRPr="00B2088E" w:rsidRDefault="006472D2" w:rsidP="006472D2">
      <w:pPr>
        <w:pStyle w:val="ListParagraph"/>
        <w:numPr>
          <w:ilvl w:val="0"/>
          <w:numId w:val="20"/>
        </w:numPr>
        <w:spacing w:after="0" w:line="240" w:lineRule="auto"/>
        <w:jc w:val="both"/>
        <w:rPr>
          <w:rFonts w:eastAsia="Times New Roman"/>
          <w:bCs/>
          <w:iCs/>
          <w:sz w:val="24"/>
          <w:szCs w:val="24"/>
        </w:rPr>
      </w:pPr>
      <w:r w:rsidRPr="00B2088E">
        <w:rPr>
          <w:rFonts w:eastAsia="Times New Roman"/>
          <w:bCs/>
          <w:iCs/>
          <w:sz w:val="24"/>
          <w:szCs w:val="24"/>
        </w:rPr>
        <w:t>Thời gian sống thêm bệnh không tiến triển (mPFS) 8,7 tháng.</w:t>
      </w:r>
    </w:p>
    <w:p w:rsidR="006472D2" w:rsidRPr="00B2088E" w:rsidRDefault="006472D2" w:rsidP="006472D2">
      <w:pPr>
        <w:pStyle w:val="ListParagraph"/>
        <w:numPr>
          <w:ilvl w:val="0"/>
          <w:numId w:val="20"/>
        </w:numPr>
        <w:spacing w:after="0" w:line="240" w:lineRule="auto"/>
        <w:jc w:val="both"/>
        <w:rPr>
          <w:rFonts w:eastAsia="Times New Roman"/>
          <w:bCs/>
          <w:iCs/>
          <w:sz w:val="24"/>
          <w:szCs w:val="24"/>
        </w:rPr>
      </w:pPr>
      <w:r w:rsidRPr="00B2088E">
        <w:rPr>
          <w:rFonts w:eastAsia="Times New Roman"/>
          <w:bCs/>
          <w:iCs/>
          <w:sz w:val="24"/>
          <w:szCs w:val="24"/>
        </w:rPr>
        <w:t>Độc tính hay gặp trên hệ huyết học là hạ bạch cầu (40%), thiếu máu (55%)</w:t>
      </w:r>
      <w:proofErr w:type="gramStart"/>
      <w:r w:rsidRPr="00B2088E">
        <w:rPr>
          <w:rFonts w:eastAsia="Times New Roman"/>
          <w:bCs/>
          <w:iCs/>
          <w:sz w:val="24"/>
          <w:szCs w:val="24"/>
        </w:rPr>
        <w:t>,;</w:t>
      </w:r>
      <w:proofErr w:type="gramEnd"/>
      <w:r w:rsidRPr="00B2088E">
        <w:rPr>
          <w:rFonts w:eastAsia="Times New Roman"/>
          <w:bCs/>
          <w:iCs/>
          <w:sz w:val="24"/>
          <w:szCs w:val="24"/>
        </w:rPr>
        <w:t xml:space="preserve"> độc tính ngoài huyết học hay gặp độc tính thần kinh ngoại vi (40%), tăng AST/ALT (45%) ,chủ yếu độ 1, độ 2.</w:t>
      </w:r>
    </w:p>
    <w:p w:rsidR="009F6B11" w:rsidRPr="00B2088E" w:rsidRDefault="00BB6C44" w:rsidP="00F515DC">
      <w:pPr>
        <w:spacing w:after="0" w:line="240" w:lineRule="auto"/>
        <w:ind w:left="360"/>
        <w:jc w:val="both"/>
        <w:rPr>
          <w:rFonts w:eastAsia="Times New Roman"/>
          <w:b/>
          <w:iCs/>
          <w:sz w:val="24"/>
          <w:szCs w:val="24"/>
        </w:rPr>
      </w:pPr>
      <w:r w:rsidRPr="00B2088E">
        <w:rPr>
          <w:rFonts w:eastAsia="Times New Roman"/>
          <w:b/>
          <w:iCs/>
          <w:sz w:val="24"/>
          <w:szCs w:val="24"/>
        </w:rPr>
        <w:t>TÀI LIỆU THAM KHẢO</w:t>
      </w:r>
    </w:p>
    <w:p w:rsidR="00BB6C44" w:rsidRPr="00B2088E" w:rsidRDefault="00BB6C44" w:rsidP="00F515DC">
      <w:pPr>
        <w:spacing w:after="0" w:line="240" w:lineRule="auto"/>
        <w:ind w:left="360"/>
        <w:jc w:val="both"/>
        <w:rPr>
          <w:rFonts w:eastAsia="Times New Roman"/>
          <w:b/>
          <w:iCs/>
          <w:sz w:val="24"/>
          <w:szCs w:val="24"/>
        </w:rPr>
      </w:pPr>
    </w:p>
    <w:p w:rsidR="009E5D95" w:rsidRPr="007551DA" w:rsidRDefault="00CE4D53" w:rsidP="009E5D95">
      <w:pPr>
        <w:pStyle w:val="Bibliography"/>
        <w:rPr>
          <w:sz w:val="22"/>
          <w:szCs w:val="22"/>
        </w:rPr>
      </w:pPr>
      <w:r w:rsidRPr="007551DA">
        <w:rPr>
          <w:rFonts w:eastAsia="Times New Roman"/>
          <w:bCs/>
          <w:iCs/>
          <w:sz w:val="22"/>
          <w:szCs w:val="22"/>
        </w:rPr>
        <w:fldChar w:fldCharType="begin"/>
      </w:r>
      <w:r w:rsidR="009F6B11" w:rsidRPr="007551DA">
        <w:rPr>
          <w:rFonts w:eastAsia="Times New Roman"/>
          <w:bCs/>
          <w:iCs/>
          <w:sz w:val="22"/>
          <w:szCs w:val="22"/>
        </w:rPr>
        <w:instrText xml:space="preserve"> ADDIN ZOTERO_BIBL {"uncited":[],"omitted":[],"custom":[]} CSL_BIBLIOGRAPHY </w:instrText>
      </w:r>
      <w:r w:rsidRPr="007551DA">
        <w:rPr>
          <w:rFonts w:eastAsia="Times New Roman"/>
          <w:bCs/>
          <w:iCs/>
          <w:sz w:val="22"/>
          <w:szCs w:val="22"/>
        </w:rPr>
        <w:fldChar w:fldCharType="separate"/>
      </w:r>
      <w:r w:rsidR="009E5D95" w:rsidRPr="007551DA">
        <w:rPr>
          <w:sz w:val="22"/>
          <w:szCs w:val="22"/>
        </w:rPr>
        <w:t>1.</w:t>
      </w:r>
      <w:r w:rsidR="009E5D95" w:rsidRPr="007551DA">
        <w:rPr>
          <w:sz w:val="22"/>
          <w:szCs w:val="22"/>
        </w:rPr>
        <w:tab/>
        <w:t xml:space="preserve">Hsu CP, Chen CY, Chen CL, et al. Thymic carcinoma. Ten years’ experience in twenty patients. </w:t>
      </w:r>
      <w:r w:rsidR="009E5D95" w:rsidRPr="007551DA">
        <w:rPr>
          <w:i/>
          <w:iCs/>
          <w:sz w:val="22"/>
          <w:szCs w:val="22"/>
        </w:rPr>
        <w:t>J Thorac Cardiovasc Surg</w:t>
      </w:r>
      <w:r w:rsidR="009E5D95" w:rsidRPr="007551DA">
        <w:rPr>
          <w:sz w:val="22"/>
          <w:szCs w:val="22"/>
        </w:rPr>
        <w:t>. 1994;107(2):615-620.</w:t>
      </w:r>
    </w:p>
    <w:p w:rsidR="009E5D95" w:rsidRPr="007551DA" w:rsidRDefault="009E5D95" w:rsidP="009E5D95">
      <w:pPr>
        <w:pStyle w:val="Bibliography"/>
        <w:rPr>
          <w:sz w:val="22"/>
          <w:szCs w:val="22"/>
        </w:rPr>
      </w:pPr>
      <w:r w:rsidRPr="007551DA">
        <w:rPr>
          <w:sz w:val="22"/>
          <w:szCs w:val="22"/>
        </w:rPr>
        <w:t>2.</w:t>
      </w:r>
      <w:r w:rsidRPr="007551DA">
        <w:rPr>
          <w:sz w:val="22"/>
          <w:szCs w:val="22"/>
        </w:rPr>
        <w:tab/>
        <w:t xml:space="preserve">Suster S, Rosai J. Thymic carcinoma. A clinicopathologic study of 60 cases. </w:t>
      </w:r>
      <w:r w:rsidRPr="007551DA">
        <w:rPr>
          <w:i/>
          <w:iCs/>
          <w:sz w:val="22"/>
          <w:szCs w:val="22"/>
        </w:rPr>
        <w:t>Cancer</w:t>
      </w:r>
      <w:r w:rsidRPr="007551DA">
        <w:rPr>
          <w:sz w:val="22"/>
          <w:szCs w:val="22"/>
        </w:rPr>
        <w:t>. 1991;67(4):1025-1032. doi:10.1002/1097-0142(19910215)67:4&lt;1025::aid-cncr2820670427&gt;3.0.co;2-f</w:t>
      </w:r>
    </w:p>
    <w:p w:rsidR="009E5D95" w:rsidRPr="007551DA" w:rsidRDefault="009E5D95" w:rsidP="009E5D95">
      <w:pPr>
        <w:pStyle w:val="Bibliography"/>
        <w:rPr>
          <w:sz w:val="22"/>
          <w:szCs w:val="22"/>
        </w:rPr>
      </w:pPr>
      <w:r w:rsidRPr="007551DA">
        <w:rPr>
          <w:sz w:val="22"/>
          <w:szCs w:val="22"/>
        </w:rPr>
        <w:t>3.</w:t>
      </w:r>
      <w:r w:rsidRPr="007551DA">
        <w:rPr>
          <w:sz w:val="22"/>
          <w:szCs w:val="22"/>
        </w:rPr>
        <w:tab/>
        <w:t xml:space="preserve">Wick MR, Scheithauer BW, Weiland LH, Bernatz PE. Primary thymic carcinomas. </w:t>
      </w:r>
      <w:r w:rsidRPr="007551DA">
        <w:rPr>
          <w:i/>
          <w:iCs/>
          <w:sz w:val="22"/>
          <w:szCs w:val="22"/>
        </w:rPr>
        <w:t>Am J Surg Pathol</w:t>
      </w:r>
      <w:r w:rsidRPr="007551DA">
        <w:rPr>
          <w:sz w:val="22"/>
          <w:szCs w:val="22"/>
        </w:rPr>
        <w:t>. 1982;6(7):613-630. doi:10.1097/00000478-198210000-00003</w:t>
      </w:r>
    </w:p>
    <w:p w:rsidR="009E5D95" w:rsidRPr="007551DA" w:rsidRDefault="009E5D95" w:rsidP="009E5D95">
      <w:pPr>
        <w:pStyle w:val="Bibliography"/>
        <w:rPr>
          <w:sz w:val="22"/>
          <w:szCs w:val="22"/>
        </w:rPr>
      </w:pPr>
      <w:r w:rsidRPr="007551DA">
        <w:rPr>
          <w:sz w:val="22"/>
          <w:szCs w:val="22"/>
        </w:rPr>
        <w:t>4.</w:t>
      </w:r>
      <w:r w:rsidRPr="007551DA">
        <w:rPr>
          <w:sz w:val="22"/>
          <w:szCs w:val="22"/>
        </w:rPr>
        <w:tab/>
        <w:t xml:space="preserve">Liu HC, Hsu WH, Chen YJ, et al. Primary thymic carcinoma. </w:t>
      </w:r>
      <w:r w:rsidRPr="007551DA">
        <w:rPr>
          <w:i/>
          <w:iCs/>
          <w:sz w:val="22"/>
          <w:szCs w:val="22"/>
        </w:rPr>
        <w:t>Ann Thorac Surg</w:t>
      </w:r>
      <w:r w:rsidRPr="007551DA">
        <w:rPr>
          <w:sz w:val="22"/>
          <w:szCs w:val="22"/>
        </w:rPr>
        <w:t>. 2002;73(4):1076-1081. doi:10.1016/s0003-4975(01)03607-4</w:t>
      </w:r>
    </w:p>
    <w:p w:rsidR="009E5D95" w:rsidRPr="007551DA" w:rsidRDefault="009E5D95" w:rsidP="009E5D95">
      <w:pPr>
        <w:pStyle w:val="Bibliography"/>
        <w:rPr>
          <w:sz w:val="22"/>
          <w:szCs w:val="22"/>
        </w:rPr>
      </w:pPr>
      <w:r w:rsidRPr="007551DA">
        <w:rPr>
          <w:sz w:val="22"/>
          <w:szCs w:val="22"/>
        </w:rPr>
        <w:t>5.</w:t>
      </w:r>
      <w:r w:rsidRPr="007551DA">
        <w:rPr>
          <w:sz w:val="22"/>
          <w:szCs w:val="22"/>
        </w:rPr>
        <w:tab/>
        <w:t xml:space="preserve">Koizumi T, Takabayashi Y, Yamagishi S, et al. Chemotherapy for advanced thymic carcinoma: clinical response to cisplatin, doxorubicin, vincristine, and cyclophosphamide (ADOC chemotherapy). </w:t>
      </w:r>
      <w:r w:rsidRPr="007551DA">
        <w:rPr>
          <w:i/>
          <w:iCs/>
          <w:sz w:val="22"/>
          <w:szCs w:val="22"/>
        </w:rPr>
        <w:t>Am J Clin Oncol</w:t>
      </w:r>
      <w:r w:rsidRPr="007551DA">
        <w:rPr>
          <w:sz w:val="22"/>
          <w:szCs w:val="22"/>
        </w:rPr>
        <w:t>. 2002;25(3):266-268. doi:10.1097/00000421-200206000-00012</w:t>
      </w:r>
    </w:p>
    <w:p w:rsidR="009E5D95" w:rsidRPr="007551DA" w:rsidRDefault="009E5D95" w:rsidP="009E5D95">
      <w:pPr>
        <w:pStyle w:val="Bibliography"/>
        <w:rPr>
          <w:sz w:val="22"/>
          <w:szCs w:val="22"/>
        </w:rPr>
      </w:pPr>
      <w:r w:rsidRPr="007551DA">
        <w:rPr>
          <w:sz w:val="22"/>
          <w:szCs w:val="22"/>
        </w:rPr>
        <w:t>6.</w:t>
      </w:r>
      <w:r w:rsidRPr="007551DA">
        <w:rPr>
          <w:sz w:val="22"/>
          <w:szCs w:val="22"/>
        </w:rPr>
        <w:tab/>
        <w:t xml:space="preserve">Yoh K, Goto K, Ishii G ichiro, et al. Weekly chemotherapy with cisplatin, vincristine, doxorubicin, and etoposide is an effective treatment for advanced thymic carcinoma. </w:t>
      </w:r>
      <w:r w:rsidRPr="007551DA">
        <w:rPr>
          <w:i/>
          <w:iCs/>
          <w:sz w:val="22"/>
          <w:szCs w:val="22"/>
        </w:rPr>
        <w:t>Cancer</w:t>
      </w:r>
      <w:r w:rsidRPr="007551DA">
        <w:rPr>
          <w:sz w:val="22"/>
          <w:szCs w:val="22"/>
        </w:rPr>
        <w:t>. 2003;98(5):926-931. doi:10.1002/cncr.11606</w:t>
      </w:r>
    </w:p>
    <w:p w:rsidR="009E5D95" w:rsidRPr="007551DA" w:rsidRDefault="009E5D95" w:rsidP="009E5D95">
      <w:pPr>
        <w:pStyle w:val="Bibliography"/>
        <w:rPr>
          <w:sz w:val="22"/>
          <w:szCs w:val="22"/>
        </w:rPr>
      </w:pPr>
      <w:r w:rsidRPr="007551DA">
        <w:rPr>
          <w:sz w:val="22"/>
          <w:szCs w:val="22"/>
        </w:rPr>
        <w:t>7.</w:t>
      </w:r>
      <w:r w:rsidRPr="007551DA">
        <w:rPr>
          <w:sz w:val="22"/>
          <w:szCs w:val="22"/>
        </w:rPr>
        <w:tab/>
        <w:t xml:space="preserve">Hirai F, Yamanaka T, Taguchi K, et al. A multicenter phase II study of carboplatin and paclitaxel for advanced thymic carcinoma: WJOG4207L. </w:t>
      </w:r>
      <w:r w:rsidRPr="007551DA">
        <w:rPr>
          <w:i/>
          <w:iCs/>
          <w:sz w:val="22"/>
          <w:szCs w:val="22"/>
        </w:rPr>
        <w:t>Ann Oncol</w:t>
      </w:r>
      <w:r w:rsidRPr="007551DA">
        <w:rPr>
          <w:sz w:val="22"/>
          <w:szCs w:val="22"/>
        </w:rPr>
        <w:t>. 2015;26(2):363-368. doi:10.1093/annonc/mdu541</w:t>
      </w:r>
    </w:p>
    <w:p w:rsidR="009E5D95" w:rsidRPr="007551DA" w:rsidRDefault="009E5D95" w:rsidP="009E5D95">
      <w:pPr>
        <w:pStyle w:val="Bibliography"/>
        <w:rPr>
          <w:sz w:val="22"/>
          <w:szCs w:val="22"/>
        </w:rPr>
      </w:pPr>
      <w:r w:rsidRPr="007551DA">
        <w:rPr>
          <w:sz w:val="22"/>
          <w:szCs w:val="22"/>
        </w:rPr>
        <w:t>8.</w:t>
      </w:r>
      <w:r w:rsidRPr="007551DA">
        <w:rPr>
          <w:sz w:val="22"/>
          <w:szCs w:val="22"/>
        </w:rPr>
        <w:tab/>
        <w:t xml:space="preserve">Song Z. Chemotherapy with paclitaxel plus carboplatin for relapsed advanced thymic carcinoma. </w:t>
      </w:r>
      <w:r w:rsidRPr="007551DA">
        <w:rPr>
          <w:i/>
          <w:iCs/>
          <w:sz w:val="22"/>
          <w:szCs w:val="22"/>
        </w:rPr>
        <w:t>Journal of Thoracic Disease</w:t>
      </w:r>
      <w:r w:rsidRPr="007551DA">
        <w:rPr>
          <w:sz w:val="22"/>
          <w:szCs w:val="22"/>
        </w:rPr>
        <w:t>. 2014;6(12). doi:10.3978/j.issn.2072-1439.2014.11.18</w:t>
      </w:r>
    </w:p>
    <w:p w:rsidR="009E5D95" w:rsidRPr="007551DA" w:rsidRDefault="009E5D95" w:rsidP="009E5D95">
      <w:pPr>
        <w:pStyle w:val="Bibliography"/>
        <w:rPr>
          <w:sz w:val="22"/>
          <w:szCs w:val="22"/>
        </w:rPr>
      </w:pPr>
      <w:r w:rsidRPr="007551DA">
        <w:rPr>
          <w:sz w:val="22"/>
          <w:szCs w:val="22"/>
        </w:rPr>
        <w:t>9.</w:t>
      </w:r>
      <w:r w:rsidRPr="007551DA">
        <w:rPr>
          <w:sz w:val="22"/>
          <w:szCs w:val="22"/>
        </w:rPr>
        <w:tab/>
        <w:t xml:space="preserve">Lemma GL, Lee JW, Aisner SC, et al. Phase II Study of Carboplatin and Paclitaxel in Advanced Thymoma and Thymic Carcinoma. </w:t>
      </w:r>
      <w:r w:rsidRPr="007551DA">
        <w:rPr>
          <w:i/>
          <w:iCs/>
          <w:sz w:val="22"/>
          <w:szCs w:val="22"/>
        </w:rPr>
        <w:t>J Clin Oncol</w:t>
      </w:r>
      <w:r w:rsidRPr="007551DA">
        <w:rPr>
          <w:sz w:val="22"/>
          <w:szCs w:val="22"/>
        </w:rPr>
        <w:t>. 2011;29(15):2060-2065. doi:10.1200/JCO.2010.32.9607</w:t>
      </w:r>
    </w:p>
    <w:p w:rsidR="009E5D95" w:rsidRPr="007551DA" w:rsidRDefault="009E5D95" w:rsidP="009E5D95">
      <w:pPr>
        <w:pStyle w:val="Bibliography"/>
        <w:rPr>
          <w:sz w:val="22"/>
          <w:szCs w:val="22"/>
        </w:rPr>
      </w:pPr>
      <w:r w:rsidRPr="007551DA">
        <w:rPr>
          <w:sz w:val="22"/>
          <w:szCs w:val="22"/>
        </w:rPr>
        <w:t>10.</w:t>
      </w:r>
      <w:r w:rsidRPr="007551DA">
        <w:rPr>
          <w:sz w:val="22"/>
          <w:szCs w:val="22"/>
        </w:rPr>
        <w:tab/>
        <w:t xml:space="preserve">Loehrer PJ, Kim K, Aisner SC, et al. Cisplatin plus doxorubicin plus cyclophosphamide in metastatic or recurrent thymoma: final results of an intergroup trial. The Eastern Cooperative Oncology Group, Southwest Oncology Group, and Southeastern Cancer Study Group. </w:t>
      </w:r>
      <w:r w:rsidRPr="007551DA">
        <w:rPr>
          <w:i/>
          <w:iCs/>
          <w:sz w:val="22"/>
          <w:szCs w:val="22"/>
        </w:rPr>
        <w:t>J Clin Oncol</w:t>
      </w:r>
      <w:r w:rsidRPr="007551DA">
        <w:rPr>
          <w:sz w:val="22"/>
          <w:szCs w:val="22"/>
        </w:rPr>
        <w:t>. 1994;12(6):1164-1168. doi:10.1200/JCO.1994.12.6.1164</w:t>
      </w:r>
    </w:p>
    <w:p w:rsidR="009F6B11" w:rsidRPr="00B2088E" w:rsidRDefault="00CE4D53" w:rsidP="00F515DC">
      <w:pPr>
        <w:spacing w:after="0" w:line="240" w:lineRule="auto"/>
        <w:ind w:left="360"/>
        <w:jc w:val="both"/>
        <w:rPr>
          <w:rFonts w:eastAsia="Times New Roman"/>
          <w:bCs/>
          <w:iCs/>
          <w:sz w:val="24"/>
          <w:szCs w:val="24"/>
        </w:rPr>
      </w:pPr>
      <w:r w:rsidRPr="007551DA">
        <w:rPr>
          <w:rFonts w:eastAsia="Times New Roman"/>
          <w:bCs/>
          <w:iCs/>
          <w:sz w:val="22"/>
          <w:szCs w:val="22"/>
        </w:rPr>
        <w:fldChar w:fldCharType="end"/>
      </w:r>
    </w:p>
    <w:sectPr w:rsidR="009F6B11" w:rsidRPr="00B2088E" w:rsidSect="00044ACF">
      <w:pgSz w:w="12240" w:h="15840"/>
      <w:pgMar w:top="1134" w:right="170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Segoe Print"/>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574BC3"/>
    <w:multiLevelType w:val="singleLevel"/>
    <w:tmpl w:val="8D574BC3"/>
    <w:lvl w:ilvl="0">
      <w:start w:val="1"/>
      <w:numFmt w:val="bullet"/>
      <w:lvlText w:val=""/>
      <w:lvlJc w:val="left"/>
      <w:pPr>
        <w:tabs>
          <w:tab w:val="left" w:pos="420"/>
        </w:tabs>
        <w:ind w:left="420" w:hanging="420"/>
      </w:pPr>
      <w:rPr>
        <w:rFonts w:ascii="Wingdings" w:hAnsi="Wingdings" w:hint="default"/>
      </w:rPr>
    </w:lvl>
  </w:abstractNum>
  <w:abstractNum w:abstractNumId="1">
    <w:nsid w:val="046968DD"/>
    <w:multiLevelType w:val="hybridMultilevel"/>
    <w:tmpl w:val="6B0C1794"/>
    <w:lvl w:ilvl="0" w:tplc="E63AFB46">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nsid w:val="0EEC1CCC"/>
    <w:multiLevelType w:val="multilevel"/>
    <w:tmpl w:val="0EEC1C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E16DC9"/>
    <w:multiLevelType w:val="multilevel"/>
    <w:tmpl w:val="0EB6A1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68A5751"/>
    <w:multiLevelType w:val="hybridMultilevel"/>
    <w:tmpl w:val="499E85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628B8"/>
    <w:multiLevelType w:val="multilevel"/>
    <w:tmpl w:val="0EEC1C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4D70AE"/>
    <w:multiLevelType w:val="multilevel"/>
    <w:tmpl w:val="35C64C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0357F4"/>
    <w:multiLevelType w:val="multilevel"/>
    <w:tmpl w:val="390357F4"/>
    <w:lvl w:ilvl="0">
      <w:numFmt w:val="bullet"/>
      <w:lvlText w:val="-"/>
      <w:lvlJc w:val="right"/>
      <w:pPr>
        <w:ind w:left="720" w:hanging="360"/>
      </w:pPr>
      <w:rPr>
        <w:rFonts w:ascii="Times New Roman" w:eastAsia="SimSun" w:hAnsi="Times New Roman" w:cs="Times New Roman" w:hint="default"/>
        <w:color w:val="000000"/>
        <w:w w:val="100"/>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FE214DA"/>
    <w:multiLevelType w:val="hybridMultilevel"/>
    <w:tmpl w:val="21AE9C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B5FB5"/>
    <w:multiLevelType w:val="hybridMultilevel"/>
    <w:tmpl w:val="B9BE62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C119A3"/>
    <w:multiLevelType w:val="hybridMultilevel"/>
    <w:tmpl w:val="72A83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E46194"/>
    <w:multiLevelType w:val="hybridMultilevel"/>
    <w:tmpl w:val="473E683A"/>
    <w:lvl w:ilvl="0" w:tplc="E63AFB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3C700D"/>
    <w:multiLevelType w:val="hybridMultilevel"/>
    <w:tmpl w:val="C92C1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347A2D"/>
    <w:multiLevelType w:val="hybridMultilevel"/>
    <w:tmpl w:val="E278C5FA"/>
    <w:lvl w:ilvl="0" w:tplc="E63AFB46">
      <w:start w:val="2"/>
      <w:numFmt w:val="bullet"/>
      <w:lvlText w:val="-"/>
      <w:lvlJc w:val="left"/>
      <w:pPr>
        <w:ind w:left="1457" w:hanging="360"/>
      </w:pPr>
      <w:rPr>
        <w:rFonts w:ascii="Times New Roman" w:eastAsia="Times New Roma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4">
    <w:nsid w:val="63FC78E2"/>
    <w:multiLevelType w:val="hybridMultilevel"/>
    <w:tmpl w:val="630E72B4"/>
    <w:lvl w:ilvl="0" w:tplc="99500C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61E7D"/>
    <w:multiLevelType w:val="multilevel"/>
    <w:tmpl w:val="CFA0AA4C"/>
    <w:lvl w:ilvl="0">
      <w:start w:val="3"/>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6">
    <w:nsid w:val="6D8A2270"/>
    <w:multiLevelType w:val="multilevel"/>
    <w:tmpl w:val="A4106D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87318B"/>
    <w:multiLevelType w:val="hybridMultilevel"/>
    <w:tmpl w:val="E20C8666"/>
    <w:lvl w:ilvl="0" w:tplc="E63AFB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460B6D"/>
    <w:multiLevelType w:val="multilevel"/>
    <w:tmpl w:val="0EEC1C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3DF10F5"/>
    <w:multiLevelType w:val="hybridMultilevel"/>
    <w:tmpl w:val="7EFC0D72"/>
    <w:lvl w:ilvl="0" w:tplc="E63AFB46">
      <w:start w:val="2"/>
      <w:numFmt w:val="bullet"/>
      <w:lvlText w:val="-"/>
      <w:lvlJc w:val="left"/>
      <w:pPr>
        <w:ind w:left="1708" w:hanging="360"/>
      </w:pPr>
      <w:rPr>
        <w:rFonts w:ascii="Times New Roman" w:eastAsia="Times New Roman" w:hAnsi="Times New Roman" w:cs="Times New Roman"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20">
    <w:nsid w:val="7B6069CA"/>
    <w:multiLevelType w:val="hybridMultilevel"/>
    <w:tmpl w:val="6C72EB52"/>
    <w:lvl w:ilvl="0" w:tplc="E63AFB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2"/>
  </w:num>
  <w:num w:numId="4">
    <w:abstractNumId w:val="6"/>
  </w:num>
  <w:num w:numId="5">
    <w:abstractNumId w:val="18"/>
  </w:num>
  <w:num w:numId="6">
    <w:abstractNumId w:val="5"/>
  </w:num>
  <w:num w:numId="7">
    <w:abstractNumId w:val="0"/>
  </w:num>
  <w:num w:numId="8">
    <w:abstractNumId w:val="9"/>
  </w:num>
  <w:num w:numId="9">
    <w:abstractNumId w:val="8"/>
  </w:num>
  <w:num w:numId="10">
    <w:abstractNumId w:val="7"/>
  </w:num>
  <w:num w:numId="11">
    <w:abstractNumId w:val="20"/>
  </w:num>
  <w:num w:numId="12">
    <w:abstractNumId w:val="14"/>
  </w:num>
  <w:num w:numId="13">
    <w:abstractNumId w:val="3"/>
  </w:num>
  <w:num w:numId="14">
    <w:abstractNumId w:val="16"/>
  </w:num>
  <w:num w:numId="15">
    <w:abstractNumId w:val="15"/>
  </w:num>
  <w:num w:numId="16">
    <w:abstractNumId w:val="1"/>
  </w:num>
  <w:num w:numId="17">
    <w:abstractNumId w:val="11"/>
  </w:num>
  <w:num w:numId="18">
    <w:abstractNumId w:val="19"/>
  </w:num>
  <w:num w:numId="19">
    <w:abstractNumId w:val="13"/>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8401B2"/>
    <w:rsid w:val="00005E2B"/>
    <w:rsid w:val="0001299C"/>
    <w:rsid w:val="000265F1"/>
    <w:rsid w:val="00044ACF"/>
    <w:rsid w:val="0005781C"/>
    <w:rsid w:val="000810E1"/>
    <w:rsid w:val="000848C3"/>
    <w:rsid w:val="000873BF"/>
    <w:rsid w:val="00096467"/>
    <w:rsid w:val="000F238E"/>
    <w:rsid w:val="001046B5"/>
    <w:rsid w:val="00107E47"/>
    <w:rsid w:val="00144A54"/>
    <w:rsid w:val="00172294"/>
    <w:rsid w:val="00177D3D"/>
    <w:rsid w:val="0018668A"/>
    <w:rsid w:val="001C0B84"/>
    <w:rsid w:val="0022181E"/>
    <w:rsid w:val="00224A71"/>
    <w:rsid w:val="00267238"/>
    <w:rsid w:val="002932AD"/>
    <w:rsid w:val="0029553E"/>
    <w:rsid w:val="002A009A"/>
    <w:rsid w:val="002B7373"/>
    <w:rsid w:val="002E04C2"/>
    <w:rsid w:val="00332E35"/>
    <w:rsid w:val="003652AA"/>
    <w:rsid w:val="003909D8"/>
    <w:rsid w:val="003A7824"/>
    <w:rsid w:val="003D2ED2"/>
    <w:rsid w:val="003D6EF1"/>
    <w:rsid w:val="004301E9"/>
    <w:rsid w:val="00462FA8"/>
    <w:rsid w:val="0048225C"/>
    <w:rsid w:val="004F54EA"/>
    <w:rsid w:val="005164FE"/>
    <w:rsid w:val="00527566"/>
    <w:rsid w:val="00530FF9"/>
    <w:rsid w:val="005A0EFF"/>
    <w:rsid w:val="005C43E8"/>
    <w:rsid w:val="005D16A3"/>
    <w:rsid w:val="005F1DD7"/>
    <w:rsid w:val="005F5A29"/>
    <w:rsid w:val="006002C5"/>
    <w:rsid w:val="00613AD8"/>
    <w:rsid w:val="00624D16"/>
    <w:rsid w:val="006472D2"/>
    <w:rsid w:val="0066275E"/>
    <w:rsid w:val="0067171E"/>
    <w:rsid w:val="006C2C24"/>
    <w:rsid w:val="006C2D99"/>
    <w:rsid w:val="006F6CC4"/>
    <w:rsid w:val="00726CC8"/>
    <w:rsid w:val="00734F0C"/>
    <w:rsid w:val="007551DA"/>
    <w:rsid w:val="0075533B"/>
    <w:rsid w:val="007A222A"/>
    <w:rsid w:val="007A7175"/>
    <w:rsid w:val="007C337E"/>
    <w:rsid w:val="007C7802"/>
    <w:rsid w:val="007D545F"/>
    <w:rsid w:val="0080553F"/>
    <w:rsid w:val="008356F6"/>
    <w:rsid w:val="008401B2"/>
    <w:rsid w:val="00864FE4"/>
    <w:rsid w:val="008A67BB"/>
    <w:rsid w:val="008D3B6C"/>
    <w:rsid w:val="008E0CDB"/>
    <w:rsid w:val="00924C0F"/>
    <w:rsid w:val="009E11F5"/>
    <w:rsid w:val="009E4F94"/>
    <w:rsid w:val="009E5D95"/>
    <w:rsid w:val="009F6B11"/>
    <w:rsid w:val="009F7355"/>
    <w:rsid w:val="00A013C9"/>
    <w:rsid w:val="00A835B7"/>
    <w:rsid w:val="00A83A4A"/>
    <w:rsid w:val="00A87D15"/>
    <w:rsid w:val="00AB0FAF"/>
    <w:rsid w:val="00B01E16"/>
    <w:rsid w:val="00B2088E"/>
    <w:rsid w:val="00B6623F"/>
    <w:rsid w:val="00B733F5"/>
    <w:rsid w:val="00B90D8E"/>
    <w:rsid w:val="00BB6C44"/>
    <w:rsid w:val="00C570F9"/>
    <w:rsid w:val="00C72B38"/>
    <w:rsid w:val="00CB1A8E"/>
    <w:rsid w:val="00CE4D53"/>
    <w:rsid w:val="00D557F7"/>
    <w:rsid w:val="00D64738"/>
    <w:rsid w:val="00D97114"/>
    <w:rsid w:val="00DA0304"/>
    <w:rsid w:val="00DA34E5"/>
    <w:rsid w:val="00DA535B"/>
    <w:rsid w:val="00DD7208"/>
    <w:rsid w:val="00DE0F44"/>
    <w:rsid w:val="00E414DB"/>
    <w:rsid w:val="00E45263"/>
    <w:rsid w:val="00E572D2"/>
    <w:rsid w:val="00F17C8E"/>
    <w:rsid w:val="00F32255"/>
    <w:rsid w:val="00F40376"/>
    <w:rsid w:val="00F515DC"/>
    <w:rsid w:val="00F5678A"/>
    <w:rsid w:val="00F77B6A"/>
    <w:rsid w:val="00F94DEE"/>
    <w:rsid w:val="00FA489E"/>
    <w:rsid w:val="00FD0120"/>
    <w:rsid w:val="00FF26DE"/>
    <w:rsid w:val="00FF6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B2"/>
    <w:pPr>
      <w:spacing w:after="200" w:line="276" w:lineRule="auto"/>
    </w:pPr>
    <w:rPr>
      <w:rFonts w:ascii="Times New Roman" w:eastAsia="Calibri" w:hAnsi="Times New Roman" w:cs="Times New Roman"/>
      <w:kern w:val="0"/>
      <w:sz w:val="28"/>
      <w:szCs w:val="28"/>
    </w:rPr>
  </w:style>
  <w:style w:type="paragraph" w:styleId="Heading1">
    <w:name w:val="heading 1"/>
    <w:basedOn w:val="Normal"/>
    <w:next w:val="Normal"/>
    <w:link w:val="Heading1Char"/>
    <w:uiPriority w:val="9"/>
    <w:qFormat/>
    <w:rsid w:val="00840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1B2"/>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840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1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1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1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1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1B2"/>
    <w:rPr>
      <w:rFonts w:eastAsiaTheme="majorEastAsia" w:cstheme="majorBidi"/>
      <w:color w:val="272727" w:themeColor="text1" w:themeTint="D8"/>
    </w:rPr>
  </w:style>
  <w:style w:type="paragraph" w:styleId="Title">
    <w:name w:val="Title"/>
    <w:basedOn w:val="Normal"/>
    <w:next w:val="Normal"/>
    <w:link w:val="TitleChar"/>
    <w:uiPriority w:val="10"/>
    <w:qFormat/>
    <w:rsid w:val="00840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1B2"/>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40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1B2"/>
    <w:pPr>
      <w:spacing w:before="160"/>
      <w:jc w:val="center"/>
    </w:pPr>
    <w:rPr>
      <w:i/>
      <w:iCs/>
      <w:color w:val="404040" w:themeColor="text1" w:themeTint="BF"/>
    </w:rPr>
  </w:style>
  <w:style w:type="character" w:customStyle="1" w:styleId="QuoteChar">
    <w:name w:val="Quote Char"/>
    <w:basedOn w:val="DefaultParagraphFont"/>
    <w:link w:val="Quote"/>
    <w:uiPriority w:val="29"/>
    <w:rsid w:val="008401B2"/>
    <w:rPr>
      <w:i/>
      <w:iCs/>
      <w:color w:val="404040" w:themeColor="text1" w:themeTint="BF"/>
    </w:rPr>
  </w:style>
  <w:style w:type="paragraph" w:styleId="ListParagraph">
    <w:name w:val="List Paragraph"/>
    <w:basedOn w:val="Normal"/>
    <w:uiPriority w:val="99"/>
    <w:qFormat/>
    <w:rsid w:val="008401B2"/>
    <w:pPr>
      <w:ind w:left="720"/>
      <w:contextualSpacing/>
    </w:pPr>
  </w:style>
  <w:style w:type="character" w:styleId="IntenseEmphasis">
    <w:name w:val="Intense Emphasis"/>
    <w:basedOn w:val="DefaultParagraphFont"/>
    <w:uiPriority w:val="21"/>
    <w:qFormat/>
    <w:rsid w:val="008401B2"/>
    <w:rPr>
      <w:i/>
      <w:iCs/>
      <w:color w:val="0F4761" w:themeColor="accent1" w:themeShade="BF"/>
    </w:rPr>
  </w:style>
  <w:style w:type="paragraph" w:styleId="IntenseQuote">
    <w:name w:val="Intense Quote"/>
    <w:basedOn w:val="Normal"/>
    <w:next w:val="Normal"/>
    <w:link w:val="IntenseQuoteChar"/>
    <w:uiPriority w:val="30"/>
    <w:qFormat/>
    <w:rsid w:val="00840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1B2"/>
    <w:rPr>
      <w:i/>
      <w:iCs/>
      <w:color w:val="0F4761" w:themeColor="accent1" w:themeShade="BF"/>
    </w:rPr>
  </w:style>
  <w:style w:type="character" w:styleId="IntenseReference">
    <w:name w:val="Intense Reference"/>
    <w:basedOn w:val="DefaultParagraphFont"/>
    <w:uiPriority w:val="32"/>
    <w:qFormat/>
    <w:rsid w:val="008401B2"/>
    <w:rPr>
      <w:b/>
      <w:bCs/>
      <w:smallCaps/>
      <w:color w:val="0F4761" w:themeColor="accent1" w:themeShade="BF"/>
      <w:spacing w:val="5"/>
    </w:rPr>
  </w:style>
  <w:style w:type="character" w:styleId="Hyperlink">
    <w:name w:val="Hyperlink"/>
    <w:qFormat/>
    <w:rsid w:val="008401B2"/>
    <w:rPr>
      <w:color w:val="0000FF"/>
      <w:u w:val="single"/>
    </w:rPr>
  </w:style>
  <w:style w:type="paragraph" w:styleId="NormalWeb">
    <w:name w:val="Normal (Web)"/>
    <w:rsid w:val="00924C0F"/>
    <w:pPr>
      <w:spacing w:beforeAutospacing="1" w:after="0" w:afterAutospacing="1" w:line="240" w:lineRule="auto"/>
    </w:pPr>
    <w:rPr>
      <w:rFonts w:ascii="Times New Roman" w:eastAsia="SimSun" w:hAnsi="Times New Roman" w:cs="Times New Roman"/>
      <w:kern w:val="0"/>
      <w:sz w:val="24"/>
      <w:szCs w:val="24"/>
      <w:lang w:eastAsia="zh-CN"/>
    </w:rPr>
  </w:style>
  <w:style w:type="paragraph" w:customStyle="1" w:styleId="Normal1">
    <w:name w:val="Normal1"/>
    <w:link w:val="normalChar"/>
    <w:qFormat/>
    <w:rsid w:val="007D545F"/>
    <w:pPr>
      <w:spacing w:after="200" w:line="276" w:lineRule="auto"/>
    </w:pPr>
    <w:rPr>
      <w:rFonts w:ascii="Times New Roman" w:eastAsia="Times New Roman" w:hAnsi="Times New Roman" w:cs="Times New Roman"/>
      <w:color w:val="000000"/>
      <w:kern w:val="0"/>
      <w:sz w:val="28"/>
      <w:szCs w:val="28"/>
      <w:lang w:val="pt-BR"/>
    </w:rPr>
  </w:style>
  <w:style w:type="table" w:customStyle="1" w:styleId="5">
    <w:name w:val="5"/>
    <w:basedOn w:val="TableNormal"/>
    <w:qFormat/>
    <w:rsid w:val="007D545F"/>
    <w:pPr>
      <w:spacing w:after="0" w:line="240" w:lineRule="auto"/>
    </w:pPr>
    <w:rPr>
      <w:rFonts w:ascii="Times New Roman" w:eastAsia="Times New Roman" w:hAnsi="Times New Roman" w:cs="Times New Roman"/>
      <w:kern w:val="0"/>
      <w:sz w:val="20"/>
      <w:szCs w:val="20"/>
    </w:rPr>
    <w:tblPr>
      <w:tblInd w:w="0" w:type="dxa"/>
      <w:tblCellMar>
        <w:top w:w="0" w:type="dxa"/>
        <w:left w:w="115" w:type="dxa"/>
        <w:bottom w:w="0" w:type="dxa"/>
        <w:right w:w="115" w:type="dxa"/>
      </w:tblCellMar>
    </w:tblPr>
  </w:style>
  <w:style w:type="character" w:customStyle="1" w:styleId="normalChar">
    <w:name w:val="normal Char"/>
    <w:basedOn w:val="DefaultParagraphFont"/>
    <w:link w:val="Normal1"/>
    <w:qFormat/>
    <w:rsid w:val="007D545F"/>
    <w:rPr>
      <w:rFonts w:ascii="Times New Roman" w:eastAsia="Times New Roman" w:hAnsi="Times New Roman" w:cs="Times New Roman"/>
      <w:color w:val="000000"/>
      <w:kern w:val="0"/>
      <w:sz w:val="28"/>
      <w:szCs w:val="28"/>
      <w:lang w:val="pt-BR"/>
    </w:rPr>
  </w:style>
  <w:style w:type="paragraph" w:styleId="Bibliography">
    <w:name w:val="Bibliography"/>
    <w:basedOn w:val="Normal"/>
    <w:next w:val="Normal"/>
    <w:uiPriority w:val="37"/>
    <w:unhideWhenUsed/>
    <w:rsid w:val="009F6B11"/>
    <w:pPr>
      <w:tabs>
        <w:tab w:val="left" w:pos="264"/>
      </w:tabs>
      <w:spacing w:after="240" w:line="240" w:lineRule="auto"/>
      <w:ind w:left="264" w:hanging="264"/>
    </w:pPr>
  </w:style>
  <w:style w:type="paragraph" w:styleId="BalloonText">
    <w:name w:val="Balloon Text"/>
    <w:basedOn w:val="Normal"/>
    <w:link w:val="BalloonTextChar"/>
    <w:uiPriority w:val="99"/>
    <w:semiHidden/>
    <w:unhideWhenUsed/>
    <w:rsid w:val="00462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FA8"/>
    <w:rPr>
      <w:rFonts w:ascii="Tahoma" w:eastAsia="Calibri"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367873966">
      <w:bodyDiv w:val="1"/>
      <w:marLeft w:val="0"/>
      <w:marRight w:val="0"/>
      <w:marTop w:val="0"/>
      <w:marBottom w:val="0"/>
      <w:divBdr>
        <w:top w:val="none" w:sz="0" w:space="0" w:color="auto"/>
        <w:left w:val="none" w:sz="0" w:space="0" w:color="auto"/>
        <w:bottom w:val="none" w:sz="0" w:space="0" w:color="auto"/>
        <w:right w:val="none" w:sz="0" w:space="0" w:color="auto"/>
      </w:divBdr>
    </w:div>
    <w:div w:id="1453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uanthang3007199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D50E6-19C9-4065-BEA5-509E29B9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6</Pages>
  <Words>6800</Words>
  <Characters>38761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xuan thang</dc:creator>
  <cp:keywords/>
  <dc:description/>
  <cp:lastModifiedBy>Noi2</cp:lastModifiedBy>
  <cp:revision>80</cp:revision>
  <dcterms:created xsi:type="dcterms:W3CDTF">2024-07-23T15:09:00Z</dcterms:created>
  <dcterms:modified xsi:type="dcterms:W3CDTF">2024-07-30T03:44:00Z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id="9XnXC9Ih"/&gt;&lt;style id="http://www.zotero.org/styles/american-medical-association" hasBibliography="1" bibliographyStyleHasBeenSet="1"/&gt;&lt;prefs&gt;&lt;pref name="fieldType" value="Field"/&gt;&lt;/prefs&gt;&lt;/data&gt;</vt:lpwstr>
  </property>
</Properties>
</file>