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199EE" w14:textId="22E7EFD0" w:rsidR="00CE012D" w:rsidRPr="005D0EBE" w:rsidRDefault="00D0716B" w:rsidP="00D0716B">
      <w:pPr>
        <w:jc w:val="center"/>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 xml:space="preserve">KẾT QUẢ </w:t>
      </w:r>
      <w:r w:rsidR="000D5737" w:rsidRPr="005D0EBE">
        <w:rPr>
          <w:rFonts w:ascii="Times New Roman" w:hAnsi="Times New Roman" w:cs="Times New Roman"/>
          <w:b/>
          <w:color w:val="000000" w:themeColor="text1"/>
          <w:sz w:val="24"/>
          <w:szCs w:val="24"/>
        </w:rPr>
        <w:t xml:space="preserve">SỐNG THÊM VÀ MỘT SỐ YẾU TỐ LIÊN QUAN TRONG ĐIỀU TRỊ </w:t>
      </w:r>
      <w:r w:rsidRPr="005D0EBE">
        <w:rPr>
          <w:rFonts w:ascii="Times New Roman" w:hAnsi="Times New Roman" w:cs="Times New Roman"/>
          <w:b/>
          <w:color w:val="000000" w:themeColor="text1"/>
          <w:sz w:val="24"/>
          <w:szCs w:val="24"/>
        </w:rPr>
        <w:t xml:space="preserve"> </w:t>
      </w:r>
      <w:r w:rsidR="000D5737" w:rsidRPr="005D0EBE">
        <w:rPr>
          <w:rFonts w:ascii="Times New Roman" w:hAnsi="Times New Roman" w:cs="Times New Roman"/>
          <w:b/>
          <w:color w:val="000000" w:themeColor="text1"/>
          <w:sz w:val="24"/>
          <w:szCs w:val="24"/>
        </w:rPr>
        <w:t xml:space="preserve">U LYMPHO KHÔNG HODGKIN TẾ BÀO B TÁI PHÁT/KHÁNG TRỊ BẰNG </w:t>
      </w:r>
      <w:r w:rsidRPr="005D0EBE">
        <w:rPr>
          <w:rFonts w:ascii="Times New Roman" w:hAnsi="Times New Roman" w:cs="Times New Roman"/>
          <w:b/>
          <w:color w:val="000000" w:themeColor="text1"/>
          <w:sz w:val="24"/>
          <w:szCs w:val="24"/>
        </w:rPr>
        <w:t xml:space="preserve">PHÁC ĐỒ </w:t>
      </w:r>
      <w:r w:rsidR="00F632D2" w:rsidRPr="005D0EBE">
        <w:rPr>
          <w:rFonts w:ascii="Times New Roman" w:hAnsi="Times New Roman" w:cs="Times New Roman"/>
          <w:b/>
          <w:color w:val="000000" w:themeColor="text1"/>
          <w:sz w:val="24"/>
          <w:szCs w:val="24"/>
        </w:rPr>
        <w:t xml:space="preserve">R-GEMOX </w:t>
      </w:r>
      <w:r w:rsidR="00357629" w:rsidRPr="005D0EBE">
        <w:rPr>
          <w:rFonts w:ascii="Times New Roman" w:hAnsi="Times New Roman" w:cs="Times New Roman"/>
          <w:b/>
          <w:color w:val="000000" w:themeColor="text1"/>
          <w:sz w:val="24"/>
          <w:szCs w:val="24"/>
        </w:rPr>
        <w:t xml:space="preserve">TẠI BỆNH VIỆN </w:t>
      </w:r>
      <w:r w:rsidR="00A87709" w:rsidRPr="005D0EBE">
        <w:rPr>
          <w:rFonts w:ascii="Times New Roman" w:hAnsi="Times New Roman" w:cs="Times New Roman"/>
          <w:b/>
          <w:color w:val="000000" w:themeColor="text1"/>
          <w:sz w:val="24"/>
          <w:szCs w:val="24"/>
        </w:rPr>
        <w:t>K</w:t>
      </w:r>
    </w:p>
    <w:p w14:paraId="173FFC7F" w14:textId="77777777" w:rsidR="000D5737" w:rsidRPr="005D0EBE" w:rsidRDefault="000D5737" w:rsidP="000D5737">
      <w:pPr>
        <w:spacing w:line="240" w:lineRule="auto"/>
        <w:jc w:val="right"/>
        <w:rPr>
          <w:rFonts w:ascii="Times New Roman" w:hAnsi="Times New Roman" w:cs="Times New Roman"/>
          <w:b/>
          <w:sz w:val="24"/>
          <w:szCs w:val="24"/>
        </w:rPr>
      </w:pPr>
      <w:r w:rsidRPr="005D0EBE">
        <w:rPr>
          <w:rFonts w:ascii="Times New Roman" w:hAnsi="Times New Roman" w:cs="Times New Roman"/>
          <w:b/>
          <w:sz w:val="24"/>
          <w:szCs w:val="24"/>
        </w:rPr>
        <w:t>Đỗ Huyền Nga</w:t>
      </w:r>
      <w:r w:rsidRPr="005D0EBE">
        <w:rPr>
          <w:rFonts w:ascii="Times New Roman" w:hAnsi="Times New Roman" w:cs="Times New Roman"/>
          <w:b/>
          <w:sz w:val="24"/>
          <w:szCs w:val="24"/>
          <w:vertAlign w:val="superscript"/>
        </w:rPr>
        <w:t>1</w:t>
      </w:r>
      <w:r w:rsidRPr="005D0EBE">
        <w:rPr>
          <w:rFonts w:ascii="Times New Roman" w:hAnsi="Times New Roman" w:cs="Times New Roman"/>
          <w:b/>
          <w:sz w:val="24"/>
          <w:szCs w:val="24"/>
        </w:rPr>
        <w:t xml:space="preserve">, Hoàng Thị Trà My </w:t>
      </w:r>
      <w:r w:rsidRPr="005D0EBE">
        <w:rPr>
          <w:rFonts w:ascii="Times New Roman" w:hAnsi="Times New Roman" w:cs="Times New Roman"/>
          <w:b/>
          <w:sz w:val="24"/>
          <w:szCs w:val="24"/>
          <w:vertAlign w:val="superscript"/>
        </w:rPr>
        <w:t>1,2</w:t>
      </w:r>
      <w:r w:rsidRPr="005D0EBE">
        <w:rPr>
          <w:rFonts w:ascii="Times New Roman" w:hAnsi="Times New Roman" w:cs="Times New Roman"/>
          <w:b/>
          <w:sz w:val="24"/>
          <w:szCs w:val="24"/>
        </w:rPr>
        <w:t xml:space="preserve">, </w:t>
      </w:r>
      <w:bookmarkStart w:id="0" w:name="_GoBack"/>
      <w:r w:rsidRPr="005D0EBE">
        <w:rPr>
          <w:rFonts w:ascii="Times New Roman" w:hAnsi="Times New Roman" w:cs="Times New Roman"/>
          <w:b/>
          <w:sz w:val="24"/>
          <w:szCs w:val="24"/>
        </w:rPr>
        <w:t>Lê Phong Thu</w:t>
      </w:r>
      <w:r w:rsidRPr="005D0EBE">
        <w:rPr>
          <w:rFonts w:ascii="Times New Roman" w:hAnsi="Times New Roman" w:cs="Times New Roman"/>
          <w:b/>
          <w:sz w:val="24"/>
          <w:szCs w:val="24"/>
          <w:vertAlign w:val="superscript"/>
        </w:rPr>
        <w:t>2</w:t>
      </w:r>
      <w:bookmarkEnd w:id="0"/>
      <w:r w:rsidRPr="005D0EBE">
        <w:rPr>
          <w:rFonts w:ascii="Times New Roman" w:hAnsi="Times New Roman" w:cs="Times New Roman"/>
          <w:b/>
          <w:sz w:val="24"/>
          <w:szCs w:val="24"/>
        </w:rPr>
        <w:t>, Nguyễn Thanh Tùng</w:t>
      </w:r>
      <w:r w:rsidRPr="005D0EBE">
        <w:rPr>
          <w:rFonts w:ascii="Times New Roman" w:hAnsi="Times New Roman" w:cs="Times New Roman"/>
          <w:b/>
          <w:sz w:val="24"/>
          <w:szCs w:val="24"/>
          <w:vertAlign w:val="superscript"/>
        </w:rPr>
        <w:t>1</w:t>
      </w:r>
    </w:p>
    <w:p w14:paraId="0CC65720" w14:textId="556CC5FA" w:rsidR="000D5737" w:rsidRPr="005D0EBE" w:rsidRDefault="000D5737" w:rsidP="000D5737">
      <w:pPr>
        <w:spacing w:line="240" w:lineRule="auto"/>
        <w:jc w:val="center"/>
        <w:rPr>
          <w:rFonts w:ascii="Times New Roman" w:hAnsi="Times New Roman" w:cs="Times New Roman"/>
          <w:b/>
          <w:sz w:val="24"/>
          <w:szCs w:val="24"/>
        </w:rPr>
      </w:pPr>
      <w:r w:rsidRPr="005D0EBE">
        <w:rPr>
          <w:rFonts w:ascii="Times New Roman" w:hAnsi="Times New Roman" w:cs="Times New Roman"/>
          <w:b/>
          <w:sz w:val="24"/>
          <w:szCs w:val="24"/>
        </w:rPr>
        <w:t xml:space="preserve">                                 </w:t>
      </w:r>
      <w:r w:rsidR="00305CDB">
        <w:rPr>
          <w:rFonts w:ascii="Times New Roman" w:hAnsi="Times New Roman" w:cs="Times New Roman"/>
          <w:b/>
          <w:sz w:val="24"/>
          <w:szCs w:val="24"/>
        </w:rPr>
        <w:t xml:space="preserve">                     </w:t>
      </w:r>
      <w:r w:rsidRPr="005D0EBE">
        <w:rPr>
          <w:rFonts w:ascii="Times New Roman" w:hAnsi="Times New Roman" w:cs="Times New Roman"/>
          <w:b/>
          <w:sz w:val="24"/>
          <w:szCs w:val="24"/>
        </w:rPr>
        <w:t xml:space="preserve"> 1: Bệnh viện K, 2: Trường Đại học Y Dược Thái Nguyên</w:t>
      </w:r>
    </w:p>
    <w:p w14:paraId="300928F0" w14:textId="77777777" w:rsidR="000D5737" w:rsidRPr="005D0EBE" w:rsidRDefault="000D5737" w:rsidP="000D5737">
      <w:pPr>
        <w:spacing w:line="240" w:lineRule="auto"/>
        <w:rPr>
          <w:rFonts w:ascii="Times New Roman" w:hAnsi="Times New Roman" w:cs="Times New Roman"/>
          <w:sz w:val="24"/>
          <w:szCs w:val="24"/>
          <w:lang w:val="vi-VN"/>
        </w:rPr>
      </w:pPr>
      <w:r w:rsidRPr="005D0EBE">
        <w:rPr>
          <w:rFonts w:ascii="Times New Roman" w:hAnsi="Times New Roman" w:cs="Times New Roman"/>
          <w:sz w:val="24"/>
          <w:szCs w:val="24"/>
          <w:lang w:val="vi-VN"/>
        </w:rPr>
        <w:t xml:space="preserve">Liên hệ: </w:t>
      </w:r>
      <w:r w:rsidRPr="005D0EBE">
        <w:rPr>
          <w:rFonts w:ascii="Times New Roman" w:hAnsi="Times New Roman" w:cs="Times New Roman"/>
          <w:sz w:val="24"/>
          <w:szCs w:val="24"/>
        </w:rPr>
        <w:t>Đỗ Huyền Nga</w:t>
      </w:r>
      <w:r w:rsidRPr="005D0EBE">
        <w:rPr>
          <w:rFonts w:ascii="Times New Roman" w:hAnsi="Times New Roman" w:cs="Times New Roman"/>
          <w:sz w:val="24"/>
          <w:szCs w:val="24"/>
          <w:lang w:val="vi-VN"/>
        </w:rPr>
        <w:t xml:space="preserve"> – </w:t>
      </w:r>
      <w:hyperlink r:id="rId7" w:history="1">
        <w:r w:rsidRPr="005D0EBE">
          <w:rPr>
            <w:rStyle w:val="Hyperlink"/>
            <w:rFonts w:ascii="Times New Roman" w:hAnsi="Times New Roman" w:cs="Times New Roman"/>
            <w:sz w:val="24"/>
            <w:szCs w:val="24"/>
          </w:rPr>
          <w:t>ncs29dhy</w:t>
        </w:r>
        <w:r w:rsidRPr="005D0EBE">
          <w:rPr>
            <w:rStyle w:val="Hyperlink"/>
            <w:rFonts w:ascii="Times New Roman" w:hAnsi="Times New Roman" w:cs="Times New Roman"/>
            <w:sz w:val="24"/>
            <w:szCs w:val="24"/>
            <w:lang w:val="vi-VN"/>
          </w:rPr>
          <w:t>@gmail.com</w:t>
        </w:r>
      </w:hyperlink>
      <w:r w:rsidRPr="005D0EBE">
        <w:rPr>
          <w:rFonts w:ascii="Times New Roman" w:hAnsi="Times New Roman" w:cs="Times New Roman"/>
          <w:sz w:val="24"/>
          <w:szCs w:val="24"/>
          <w:lang w:val="vi-VN"/>
        </w:rPr>
        <w:t xml:space="preserve"> SĐT: </w:t>
      </w:r>
      <w:r w:rsidRPr="005D0EBE">
        <w:rPr>
          <w:rFonts w:ascii="Times New Roman" w:hAnsi="Times New Roman" w:cs="Times New Roman"/>
          <w:sz w:val="24"/>
          <w:szCs w:val="24"/>
        </w:rPr>
        <w:t>0915868288</w:t>
      </w:r>
    </w:p>
    <w:p w14:paraId="5323B305" w14:textId="77777777" w:rsidR="00DF305A" w:rsidRPr="005D0EBE" w:rsidRDefault="00DF305A" w:rsidP="005046DB">
      <w:pPr>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Tóm tắt</w:t>
      </w:r>
    </w:p>
    <w:p w14:paraId="1B97B184" w14:textId="47F7ADA8" w:rsidR="007530C3" w:rsidRPr="005D0EBE" w:rsidRDefault="007530C3" w:rsidP="00E33D3E">
      <w:pPr>
        <w:spacing w:line="240" w:lineRule="auto"/>
        <w:jc w:val="both"/>
        <w:rPr>
          <w:rFonts w:ascii="Times New Roman" w:hAnsi="Times New Roman" w:cs="Times New Roman"/>
          <w:color w:val="FF0000"/>
          <w:sz w:val="24"/>
          <w:szCs w:val="24"/>
        </w:rPr>
      </w:pPr>
      <w:r w:rsidRPr="005D0EBE">
        <w:rPr>
          <w:rFonts w:ascii="Times New Roman" w:hAnsi="Times New Roman" w:cs="Times New Roman"/>
          <w:b/>
          <w:color w:val="000000" w:themeColor="text1"/>
          <w:sz w:val="24"/>
          <w:szCs w:val="24"/>
        </w:rPr>
        <w:t xml:space="preserve">Mục tiêu: </w:t>
      </w:r>
      <w:r w:rsidRPr="005D0EBE">
        <w:rPr>
          <w:rFonts w:ascii="Times New Roman" w:hAnsi="Times New Roman" w:cs="Times New Roman"/>
          <w:color w:val="000000" w:themeColor="text1"/>
          <w:sz w:val="24"/>
          <w:szCs w:val="24"/>
        </w:rPr>
        <w:t xml:space="preserve">Đánh giá </w:t>
      </w:r>
      <w:r w:rsidR="00342046" w:rsidRPr="005D0EBE">
        <w:rPr>
          <w:rFonts w:ascii="Times New Roman" w:hAnsi="Times New Roman" w:cs="Times New Roman"/>
          <w:color w:val="000000" w:themeColor="text1"/>
          <w:sz w:val="24"/>
          <w:szCs w:val="24"/>
        </w:rPr>
        <w:t>kết quả sống thêm và một số yếu tố liên quan</w:t>
      </w:r>
      <w:r w:rsidRPr="005D0EBE">
        <w:rPr>
          <w:rFonts w:ascii="Times New Roman" w:hAnsi="Times New Roman" w:cs="Times New Roman"/>
          <w:color w:val="000000" w:themeColor="text1"/>
          <w:sz w:val="24"/>
          <w:szCs w:val="24"/>
        </w:rPr>
        <w:t xml:space="preserve"> của hóa trị phác đồ R-GEMOX trong điều trị u lympho không Hodgkin</w:t>
      </w:r>
      <w:r w:rsidR="00411FB8" w:rsidRPr="005D0EBE">
        <w:rPr>
          <w:rFonts w:ascii="Times New Roman" w:hAnsi="Times New Roman" w:cs="Times New Roman"/>
          <w:color w:val="000000" w:themeColor="text1"/>
          <w:sz w:val="24"/>
          <w:szCs w:val="24"/>
        </w:rPr>
        <w:t xml:space="preserve"> tế bào B</w:t>
      </w:r>
      <w:r w:rsidRPr="005D0EBE">
        <w:rPr>
          <w:rFonts w:ascii="Times New Roman" w:hAnsi="Times New Roman" w:cs="Times New Roman"/>
          <w:color w:val="000000" w:themeColor="text1"/>
          <w:sz w:val="24"/>
          <w:szCs w:val="24"/>
        </w:rPr>
        <w:t xml:space="preserve"> tái phát/kháng trị tại bệnh viện </w:t>
      </w:r>
      <w:r w:rsidR="00A87709" w:rsidRPr="005D0EBE">
        <w:rPr>
          <w:rFonts w:ascii="Times New Roman" w:hAnsi="Times New Roman" w:cs="Times New Roman"/>
          <w:color w:val="000000" w:themeColor="text1"/>
          <w:sz w:val="24"/>
          <w:szCs w:val="24"/>
        </w:rPr>
        <w:t>K</w:t>
      </w:r>
      <w:r w:rsidRPr="005D0EBE">
        <w:rPr>
          <w:rFonts w:ascii="Times New Roman" w:hAnsi="Times New Roman" w:cs="Times New Roman"/>
          <w:color w:val="000000" w:themeColor="text1"/>
          <w:sz w:val="24"/>
          <w:szCs w:val="24"/>
        </w:rPr>
        <w:t xml:space="preserve"> từ năm 2019 đến 202</w:t>
      </w:r>
      <w:r w:rsidR="00342046" w:rsidRPr="005D0EBE">
        <w:rPr>
          <w:rFonts w:ascii="Times New Roman" w:hAnsi="Times New Roman" w:cs="Times New Roman"/>
          <w:color w:val="000000" w:themeColor="text1"/>
          <w:sz w:val="24"/>
          <w:szCs w:val="24"/>
        </w:rPr>
        <w:t>4</w:t>
      </w:r>
      <w:r w:rsidRPr="005D0EBE">
        <w:rPr>
          <w:rFonts w:ascii="Times New Roman" w:hAnsi="Times New Roman" w:cs="Times New Roman"/>
          <w:color w:val="000000" w:themeColor="text1"/>
          <w:sz w:val="24"/>
          <w:szCs w:val="24"/>
        </w:rPr>
        <w:t xml:space="preserve">; </w:t>
      </w:r>
      <w:r w:rsidR="00342046" w:rsidRPr="005D0EBE">
        <w:rPr>
          <w:rFonts w:ascii="Times New Roman" w:hAnsi="Times New Roman" w:cs="Times New Roman"/>
          <w:b/>
          <w:color w:val="000000" w:themeColor="text1"/>
          <w:sz w:val="24"/>
          <w:szCs w:val="24"/>
        </w:rPr>
        <w:t xml:space="preserve">Đối tượng và phương pháp nghiên cứu: </w:t>
      </w:r>
      <w:r w:rsidR="00342046" w:rsidRPr="005D0EBE">
        <w:rPr>
          <w:rFonts w:ascii="Times New Roman" w:hAnsi="Times New Roman" w:cs="Times New Roman"/>
          <w:bCs/>
          <w:color w:val="000000" w:themeColor="text1"/>
          <w:sz w:val="24"/>
          <w:szCs w:val="24"/>
        </w:rPr>
        <w:t>Nghiên cứu tiến cứu mô tả cắt ngang thực hiện trên 83 bệnh nhân u lympho không Hodgkin tế bào B tái phát/kháng trị điều trị phác đồ RGEMOX tại khoa Nội Hệ tạo Huyết Bệnh viện K từ 05/2019-0</w:t>
      </w:r>
      <w:r w:rsidR="00637686">
        <w:rPr>
          <w:rFonts w:ascii="Times New Roman" w:hAnsi="Times New Roman" w:cs="Times New Roman"/>
          <w:bCs/>
          <w:color w:val="000000" w:themeColor="text1"/>
          <w:sz w:val="24"/>
          <w:szCs w:val="24"/>
        </w:rPr>
        <w:t>6</w:t>
      </w:r>
      <w:r w:rsidR="00342046" w:rsidRPr="005D0EBE">
        <w:rPr>
          <w:rFonts w:ascii="Times New Roman" w:hAnsi="Times New Roman" w:cs="Times New Roman"/>
          <w:bCs/>
          <w:color w:val="000000" w:themeColor="text1"/>
          <w:sz w:val="24"/>
          <w:szCs w:val="24"/>
        </w:rPr>
        <w:t>/2024</w:t>
      </w:r>
      <w:r w:rsidRPr="005D0EBE">
        <w:rPr>
          <w:rFonts w:ascii="Times New Roman" w:hAnsi="Times New Roman" w:cs="Times New Roman"/>
          <w:color w:val="000000" w:themeColor="text1"/>
          <w:sz w:val="24"/>
          <w:szCs w:val="24"/>
        </w:rPr>
        <w:t xml:space="preserve">. </w:t>
      </w:r>
      <w:r w:rsidRPr="005D0EBE">
        <w:rPr>
          <w:rFonts w:ascii="Times New Roman" w:hAnsi="Times New Roman" w:cs="Times New Roman"/>
          <w:b/>
          <w:color w:val="000000" w:themeColor="text1"/>
          <w:sz w:val="24"/>
          <w:szCs w:val="24"/>
        </w:rPr>
        <w:t>Kết quả:</w:t>
      </w:r>
      <w:r w:rsidRPr="005D0EBE">
        <w:rPr>
          <w:rFonts w:ascii="Times New Roman" w:hAnsi="Times New Roman" w:cs="Times New Roman"/>
          <w:color w:val="000000" w:themeColor="text1"/>
          <w:sz w:val="24"/>
          <w:szCs w:val="24"/>
        </w:rPr>
        <w:t xml:space="preserve"> </w:t>
      </w:r>
      <w:r w:rsidR="0075106C" w:rsidRPr="005D0EBE">
        <w:rPr>
          <w:rFonts w:ascii="Times New Roman" w:hAnsi="Times New Roman" w:cs="Times New Roman"/>
          <w:color w:val="FF0000"/>
          <w:sz w:val="24"/>
          <w:szCs w:val="24"/>
        </w:rPr>
        <w:t xml:space="preserve">Tuổi trung bình là </w:t>
      </w:r>
      <w:r w:rsidR="0017686F">
        <w:rPr>
          <w:rFonts w:ascii="Times New Roman" w:hAnsi="Times New Roman" w:cs="Times New Roman"/>
          <w:color w:val="FF0000"/>
          <w:sz w:val="24"/>
          <w:szCs w:val="24"/>
        </w:rPr>
        <w:t>59,9</w:t>
      </w:r>
      <w:r w:rsidR="0075106C" w:rsidRPr="005D0EBE">
        <w:rPr>
          <w:rFonts w:ascii="Times New Roman" w:hAnsi="Times New Roman" w:cs="Times New Roman"/>
          <w:color w:val="FF0000"/>
          <w:sz w:val="24"/>
          <w:szCs w:val="24"/>
        </w:rPr>
        <w:t xml:space="preserve">; tỉ lệ nam/nữ=1; </w:t>
      </w:r>
      <w:r w:rsidR="00E33D3E" w:rsidRPr="005D0EBE">
        <w:rPr>
          <w:rFonts w:ascii="Times New Roman" w:hAnsi="Times New Roman" w:cs="Times New Roman"/>
          <w:color w:val="FF0000"/>
          <w:sz w:val="24"/>
          <w:szCs w:val="24"/>
        </w:rPr>
        <w:t>T</w:t>
      </w:r>
      <w:r w:rsidR="0075106C" w:rsidRPr="005D0EBE">
        <w:rPr>
          <w:rFonts w:ascii="Times New Roman" w:hAnsi="Times New Roman" w:cs="Times New Roman"/>
          <w:color w:val="FF0000"/>
          <w:sz w:val="24"/>
          <w:szCs w:val="24"/>
        </w:rPr>
        <w:t xml:space="preserve">ỉ lệ bệnh nhân có đáp ứng chiếm </w:t>
      </w:r>
      <w:r w:rsidR="0017686F">
        <w:rPr>
          <w:rFonts w:ascii="Times New Roman" w:hAnsi="Times New Roman" w:cs="Times New Roman"/>
          <w:color w:val="FF0000"/>
          <w:sz w:val="24"/>
          <w:szCs w:val="24"/>
        </w:rPr>
        <w:t>51,8</w:t>
      </w:r>
      <w:r w:rsidR="0075106C" w:rsidRPr="005D0EBE">
        <w:rPr>
          <w:rFonts w:ascii="Times New Roman" w:hAnsi="Times New Roman" w:cs="Times New Roman"/>
          <w:color w:val="FF0000"/>
          <w:sz w:val="24"/>
          <w:szCs w:val="24"/>
        </w:rPr>
        <w:t xml:space="preserve">% trong đó tỉ lệ đáp ứng hoàn toàn là </w:t>
      </w:r>
      <w:r w:rsidR="0017686F">
        <w:rPr>
          <w:rFonts w:ascii="Times New Roman" w:hAnsi="Times New Roman" w:cs="Times New Roman"/>
          <w:color w:val="FF0000"/>
          <w:sz w:val="24"/>
          <w:szCs w:val="24"/>
        </w:rPr>
        <w:t>20,5</w:t>
      </w:r>
      <w:r w:rsidR="0075106C" w:rsidRPr="005D0EBE">
        <w:rPr>
          <w:rFonts w:ascii="Times New Roman" w:hAnsi="Times New Roman" w:cs="Times New Roman"/>
          <w:color w:val="FF0000"/>
          <w:sz w:val="24"/>
          <w:szCs w:val="24"/>
        </w:rPr>
        <w:t xml:space="preserve">%; đáp ứng một phần là </w:t>
      </w:r>
      <w:r w:rsidR="0017686F">
        <w:rPr>
          <w:rFonts w:ascii="Times New Roman" w:hAnsi="Times New Roman" w:cs="Times New Roman"/>
          <w:color w:val="FF0000"/>
          <w:sz w:val="24"/>
          <w:szCs w:val="24"/>
        </w:rPr>
        <w:t>31,3</w:t>
      </w:r>
      <w:r w:rsidR="0075106C" w:rsidRPr="005D0EBE">
        <w:rPr>
          <w:rFonts w:ascii="Times New Roman" w:hAnsi="Times New Roman" w:cs="Times New Roman"/>
          <w:color w:val="FF0000"/>
          <w:sz w:val="24"/>
          <w:szCs w:val="24"/>
        </w:rPr>
        <w:t>%</w:t>
      </w:r>
      <w:r w:rsidR="00E33D3E" w:rsidRPr="005D0EBE">
        <w:rPr>
          <w:rFonts w:ascii="Times New Roman" w:hAnsi="Times New Roman" w:cs="Times New Roman"/>
          <w:color w:val="FF0000"/>
          <w:sz w:val="24"/>
          <w:szCs w:val="24"/>
        </w:rPr>
        <w:t>;</w:t>
      </w:r>
      <w:r w:rsidR="0075106C" w:rsidRPr="005D0EBE">
        <w:rPr>
          <w:rFonts w:ascii="Times New Roman" w:hAnsi="Times New Roman" w:cs="Times New Roman"/>
          <w:color w:val="FF0000"/>
          <w:sz w:val="24"/>
          <w:szCs w:val="24"/>
        </w:rPr>
        <w:t xml:space="preserve"> Tỉ lệ bệnh giữ nguyên là </w:t>
      </w:r>
      <w:r w:rsidR="0017686F">
        <w:rPr>
          <w:rFonts w:ascii="Times New Roman" w:hAnsi="Times New Roman" w:cs="Times New Roman"/>
          <w:color w:val="FF0000"/>
          <w:sz w:val="24"/>
          <w:szCs w:val="24"/>
        </w:rPr>
        <w:t>4,8</w:t>
      </w:r>
      <w:r w:rsidR="0075106C" w:rsidRPr="005D0EBE">
        <w:rPr>
          <w:rFonts w:ascii="Times New Roman" w:hAnsi="Times New Roman" w:cs="Times New Roman"/>
          <w:color w:val="FF0000"/>
          <w:sz w:val="24"/>
          <w:szCs w:val="24"/>
        </w:rPr>
        <w:t xml:space="preserve">%; tỉ lệ bệnh tiến triển là </w:t>
      </w:r>
      <w:r w:rsidR="00305CDB">
        <w:rPr>
          <w:rFonts w:ascii="Times New Roman" w:hAnsi="Times New Roman" w:cs="Times New Roman"/>
          <w:color w:val="FF0000"/>
          <w:sz w:val="24"/>
          <w:szCs w:val="24"/>
        </w:rPr>
        <w:t>43,4</w:t>
      </w:r>
      <w:r w:rsidR="0075106C" w:rsidRPr="005D0EBE">
        <w:rPr>
          <w:rFonts w:ascii="Times New Roman" w:hAnsi="Times New Roman" w:cs="Times New Roman"/>
          <w:color w:val="FF0000"/>
          <w:sz w:val="24"/>
          <w:szCs w:val="24"/>
        </w:rPr>
        <w:t>%</w:t>
      </w:r>
      <w:r w:rsidR="00E33D3E" w:rsidRPr="005D0EBE">
        <w:rPr>
          <w:rFonts w:ascii="Times New Roman" w:hAnsi="Times New Roman" w:cs="Times New Roman"/>
          <w:color w:val="FF0000"/>
          <w:sz w:val="24"/>
          <w:szCs w:val="24"/>
        </w:rPr>
        <w:t>;</w:t>
      </w:r>
      <w:r w:rsidR="0075106C" w:rsidRPr="005D0EBE">
        <w:rPr>
          <w:rFonts w:ascii="Times New Roman" w:hAnsi="Times New Roman" w:cs="Times New Roman"/>
          <w:color w:val="FF0000"/>
          <w:sz w:val="24"/>
          <w:szCs w:val="24"/>
        </w:rPr>
        <w:t xml:space="preserve"> Thời gian sống thêm không bệnh tiến triển của nghiên cứu đạt trung vị 1</w:t>
      </w:r>
      <w:r w:rsidR="00305CDB">
        <w:rPr>
          <w:rFonts w:ascii="Times New Roman" w:hAnsi="Times New Roman" w:cs="Times New Roman"/>
          <w:color w:val="FF0000"/>
          <w:sz w:val="24"/>
          <w:szCs w:val="24"/>
        </w:rPr>
        <w:t>3</w:t>
      </w:r>
      <w:r w:rsidR="0075106C" w:rsidRPr="005D0EBE">
        <w:rPr>
          <w:rFonts w:ascii="Times New Roman" w:hAnsi="Times New Roman" w:cs="Times New Roman"/>
          <w:color w:val="FF0000"/>
          <w:sz w:val="24"/>
          <w:szCs w:val="24"/>
        </w:rPr>
        <w:t xml:space="preserve"> tháng. Thời gian sống thêm toàn bộ của nghiên cứu đạt trung vị 2</w:t>
      </w:r>
      <w:r w:rsidR="00305CDB">
        <w:rPr>
          <w:rFonts w:ascii="Times New Roman" w:hAnsi="Times New Roman" w:cs="Times New Roman"/>
          <w:color w:val="FF0000"/>
          <w:sz w:val="24"/>
          <w:szCs w:val="24"/>
        </w:rPr>
        <w:t>1</w:t>
      </w:r>
      <w:r w:rsidR="0075106C" w:rsidRPr="005D0EBE">
        <w:rPr>
          <w:rFonts w:ascii="Times New Roman" w:hAnsi="Times New Roman" w:cs="Times New Roman"/>
          <w:color w:val="FF0000"/>
          <w:sz w:val="24"/>
          <w:szCs w:val="24"/>
        </w:rPr>
        <w:t xml:space="preserve"> tháng.</w:t>
      </w:r>
      <w:r w:rsidR="00305CDB">
        <w:rPr>
          <w:rFonts w:ascii="Times New Roman" w:hAnsi="Times New Roman" w:cs="Times New Roman"/>
          <w:color w:val="FF0000"/>
          <w:sz w:val="24"/>
          <w:szCs w:val="24"/>
        </w:rPr>
        <w:t xml:space="preserve"> </w:t>
      </w:r>
      <w:r w:rsidR="00305CDB" w:rsidRPr="005D0EBE">
        <w:rPr>
          <w:rFonts w:ascii="Times New Roman" w:eastAsia="Times New Roman" w:hAnsi="Times New Roman" w:cs="Times New Roman"/>
          <w:sz w:val="24"/>
          <w:szCs w:val="24"/>
        </w:rPr>
        <w:t>Kháng trị là yếu tố tiên lượng độc lập với PFS</w:t>
      </w:r>
      <w:r w:rsidR="00305CDB">
        <w:rPr>
          <w:rFonts w:ascii="Times New Roman" w:eastAsia="Times New Roman" w:hAnsi="Times New Roman" w:cs="Times New Roman"/>
          <w:sz w:val="24"/>
          <w:szCs w:val="24"/>
        </w:rPr>
        <w:t xml:space="preserve"> (p&lt;0,05) và </w:t>
      </w:r>
      <w:r w:rsidR="00305CDB">
        <w:rPr>
          <w:rFonts w:ascii="Times New Roman" w:eastAsia="Times New Roman" w:hAnsi="Times New Roman" w:cs="Times New Roman"/>
          <w:iCs/>
          <w:sz w:val="24"/>
          <w:szCs w:val="24"/>
        </w:rPr>
        <w:t>đ</w:t>
      </w:r>
      <w:r w:rsidR="00305CDB" w:rsidRPr="005D0EBE">
        <w:rPr>
          <w:rFonts w:ascii="Times New Roman" w:eastAsia="Times New Roman" w:hAnsi="Times New Roman" w:cs="Times New Roman"/>
          <w:iCs/>
          <w:sz w:val="24"/>
          <w:szCs w:val="24"/>
        </w:rPr>
        <w:t>áp ứng sau điều trị là yếu tố tiên lượng độc lập với thời gian sống thêm không bệnh tiến triển và thời gian sống thêm toàn bộ với p&lt;0,001.</w:t>
      </w:r>
      <w:r w:rsidR="00E33D3E" w:rsidRPr="005D0EBE">
        <w:rPr>
          <w:rFonts w:ascii="Times New Roman" w:hAnsi="Times New Roman" w:cs="Times New Roman"/>
          <w:color w:val="FF0000"/>
          <w:sz w:val="24"/>
          <w:szCs w:val="24"/>
        </w:rPr>
        <w:t xml:space="preserve"> </w:t>
      </w:r>
      <w:r w:rsidRPr="005D0EBE">
        <w:rPr>
          <w:rFonts w:ascii="Times New Roman" w:hAnsi="Times New Roman" w:cs="Times New Roman"/>
          <w:b/>
          <w:color w:val="FF0000"/>
          <w:sz w:val="24"/>
          <w:szCs w:val="24"/>
        </w:rPr>
        <w:t>Kết luận:</w:t>
      </w:r>
      <w:r w:rsidR="00E33D3E" w:rsidRPr="005D0EBE">
        <w:rPr>
          <w:rFonts w:ascii="Times New Roman" w:hAnsi="Times New Roman" w:cs="Times New Roman"/>
          <w:color w:val="FF0000"/>
          <w:sz w:val="24"/>
          <w:szCs w:val="24"/>
        </w:rPr>
        <w:t xml:space="preserve"> Phác đồ R-GEMOX giúp kéo dài thời gian sống thêm không bệnh cũng như thời gian sống thêm toàn bộ và an toàn cho các bệnh nhân u lympho không Hodgkin tế bào B tái phát/kháng trị không có chỉ định hóa chất liều cao</w:t>
      </w:r>
      <w:r w:rsidRPr="005D0EBE">
        <w:rPr>
          <w:rFonts w:ascii="Times New Roman" w:hAnsi="Times New Roman" w:cs="Times New Roman"/>
          <w:color w:val="FF0000"/>
          <w:sz w:val="24"/>
          <w:szCs w:val="24"/>
        </w:rPr>
        <w:t>.</w:t>
      </w:r>
    </w:p>
    <w:p w14:paraId="2581E19B" w14:textId="77777777" w:rsidR="006D0D89" w:rsidRPr="005D0EBE" w:rsidRDefault="00872B80" w:rsidP="005046DB">
      <w:pPr>
        <w:jc w:val="both"/>
        <w:rPr>
          <w:rFonts w:ascii="Times New Roman" w:hAnsi="Times New Roman" w:cs="Times New Roman"/>
          <w:color w:val="FF0000"/>
          <w:sz w:val="24"/>
          <w:szCs w:val="24"/>
        </w:rPr>
      </w:pPr>
      <w:r w:rsidRPr="005D0EBE">
        <w:rPr>
          <w:rFonts w:ascii="Times New Roman" w:hAnsi="Times New Roman" w:cs="Times New Roman"/>
          <w:b/>
          <w:color w:val="FF0000"/>
          <w:sz w:val="24"/>
          <w:szCs w:val="24"/>
        </w:rPr>
        <w:t>Từ khóa:</w:t>
      </w:r>
      <w:r w:rsidRPr="005D0EBE">
        <w:rPr>
          <w:rFonts w:ascii="Times New Roman" w:hAnsi="Times New Roman" w:cs="Times New Roman"/>
          <w:color w:val="FF0000"/>
          <w:sz w:val="24"/>
          <w:szCs w:val="24"/>
        </w:rPr>
        <w:t xml:space="preserve"> </w:t>
      </w:r>
      <w:r w:rsidR="00C84431" w:rsidRPr="005D0EBE">
        <w:rPr>
          <w:rFonts w:ascii="Times New Roman" w:hAnsi="Times New Roman" w:cs="Times New Roman"/>
          <w:color w:val="FF0000"/>
          <w:sz w:val="24"/>
          <w:szCs w:val="24"/>
        </w:rPr>
        <w:t xml:space="preserve">R/R </w:t>
      </w:r>
      <w:r w:rsidR="005A34CE" w:rsidRPr="005D0EBE">
        <w:rPr>
          <w:rFonts w:ascii="Times New Roman" w:hAnsi="Times New Roman" w:cs="Times New Roman"/>
          <w:color w:val="FF0000"/>
          <w:sz w:val="24"/>
          <w:szCs w:val="24"/>
        </w:rPr>
        <w:t>NHL</w:t>
      </w:r>
      <w:r w:rsidR="00F95E58" w:rsidRPr="005D0EBE">
        <w:rPr>
          <w:rFonts w:ascii="Times New Roman" w:hAnsi="Times New Roman" w:cs="Times New Roman"/>
          <w:color w:val="FF0000"/>
          <w:sz w:val="24"/>
          <w:szCs w:val="24"/>
        </w:rPr>
        <w:t xml:space="preserve"> </w:t>
      </w:r>
      <w:r w:rsidRPr="005D0EBE">
        <w:rPr>
          <w:rFonts w:ascii="Times New Roman" w:hAnsi="Times New Roman" w:cs="Times New Roman"/>
          <w:color w:val="FF0000"/>
          <w:sz w:val="24"/>
          <w:szCs w:val="24"/>
        </w:rPr>
        <w:t>(</w:t>
      </w:r>
      <w:r w:rsidR="005A34CE" w:rsidRPr="005D0EBE">
        <w:rPr>
          <w:rFonts w:ascii="Times New Roman" w:hAnsi="Times New Roman" w:cs="Times New Roman"/>
          <w:color w:val="FF0000"/>
          <w:sz w:val="24"/>
          <w:szCs w:val="24"/>
        </w:rPr>
        <w:t>U lympho không Hodgkin</w:t>
      </w:r>
      <w:r w:rsidR="00E33D3E" w:rsidRPr="005D0EBE">
        <w:rPr>
          <w:rFonts w:ascii="Times New Roman" w:hAnsi="Times New Roman" w:cs="Times New Roman"/>
          <w:color w:val="FF0000"/>
          <w:sz w:val="24"/>
          <w:szCs w:val="24"/>
        </w:rPr>
        <w:t xml:space="preserve"> tế bào B tái phát, kháng trị</w:t>
      </w:r>
      <w:r w:rsidRPr="005D0EBE">
        <w:rPr>
          <w:rFonts w:ascii="Times New Roman" w:hAnsi="Times New Roman" w:cs="Times New Roman"/>
          <w:color w:val="FF0000"/>
          <w:sz w:val="24"/>
          <w:szCs w:val="24"/>
        </w:rPr>
        <w:t>)</w:t>
      </w:r>
    </w:p>
    <w:p w14:paraId="754BBFBD" w14:textId="3F294EFC" w:rsidR="00C849E2" w:rsidRDefault="00C849E2" w:rsidP="00C849E2">
      <w:pPr>
        <w:jc w:val="center"/>
        <w:rPr>
          <w:rFonts w:ascii="Times New Roman" w:hAnsi="Times New Roman" w:cs="Times New Roman"/>
          <w:b/>
          <w:color w:val="000000" w:themeColor="text1"/>
          <w:sz w:val="24"/>
          <w:szCs w:val="24"/>
        </w:rPr>
      </w:pPr>
      <w:r w:rsidRPr="00C849E2">
        <w:rPr>
          <w:rFonts w:ascii="Times New Roman" w:hAnsi="Times New Roman" w:cs="Times New Roman"/>
          <w:b/>
          <w:color w:val="000000" w:themeColor="text1"/>
          <w:sz w:val="24"/>
          <w:szCs w:val="24"/>
        </w:rPr>
        <w:t>SURVIVAL OUTCOMES AND SOME RELATED FACTORS IN THE TREATMENT OF RE</w:t>
      </w:r>
      <w:r>
        <w:rPr>
          <w:rFonts w:ascii="Times New Roman" w:hAnsi="Times New Roman" w:cs="Times New Roman"/>
          <w:b/>
          <w:color w:val="000000" w:themeColor="text1"/>
          <w:sz w:val="24"/>
          <w:szCs w:val="24"/>
        </w:rPr>
        <w:t>LAPSED/REFRACTORY</w:t>
      </w:r>
      <w:r w:rsidRPr="00C849E2">
        <w:rPr>
          <w:rFonts w:ascii="Times New Roman" w:hAnsi="Times New Roman" w:cs="Times New Roman"/>
          <w:b/>
          <w:color w:val="000000" w:themeColor="text1"/>
          <w:sz w:val="24"/>
          <w:szCs w:val="24"/>
        </w:rPr>
        <w:t xml:space="preserve"> B-CELL NON-HODGKIN LYMPHOMA </w:t>
      </w:r>
      <w:r>
        <w:rPr>
          <w:rFonts w:ascii="Times New Roman" w:hAnsi="Times New Roman" w:cs="Times New Roman"/>
          <w:b/>
          <w:color w:val="000000" w:themeColor="text1"/>
          <w:sz w:val="24"/>
          <w:szCs w:val="24"/>
        </w:rPr>
        <w:br/>
      </w:r>
      <w:r w:rsidRPr="00C849E2">
        <w:rPr>
          <w:rFonts w:ascii="Times New Roman" w:hAnsi="Times New Roman" w:cs="Times New Roman"/>
          <w:b/>
          <w:color w:val="000000" w:themeColor="text1"/>
          <w:sz w:val="24"/>
          <w:szCs w:val="24"/>
        </w:rPr>
        <w:t>WITH R-GEMOX REGIMEN AT K HOSPITAL</w:t>
      </w:r>
    </w:p>
    <w:p w14:paraId="182137BB" w14:textId="77777777" w:rsidR="00E33D3E" w:rsidRPr="005D0EBE" w:rsidRDefault="00E33D3E" w:rsidP="00E33D3E">
      <w:pPr>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Summary</w:t>
      </w:r>
    </w:p>
    <w:p w14:paraId="6254BF4D" w14:textId="7374DBA2" w:rsidR="00081F1B" w:rsidRPr="005D0EBE" w:rsidRDefault="00081F1B" w:rsidP="00E33D3E">
      <w:pPr>
        <w:jc w:val="both"/>
        <w:rPr>
          <w:rFonts w:ascii="Times New Roman" w:hAnsi="Times New Roman" w:cs="Times New Roman"/>
          <w:color w:val="000000" w:themeColor="text1"/>
          <w:sz w:val="24"/>
          <w:szCs w:val="24"/>
        </w:rPr>
      </w:pPr>
      <w:r w:rsidRPr="00081F1B">
        <w:rPr>
          <w:rFonts w:ascii="Times New Roman" w:hAnsi="Times New Roman" w:cs="Times New Roman"/>
          <w:b/>
          <w:bCs/>
          <w:color w:val="000000" w:themeColor="text1"/>
          <w:sz w:val="24"/>
          <w:szCs w:val="24"/>
        </w:rPr>
        <w:t>Objective:</w:t>
      </w:r>
      <w:r w:rsidRPr="00081F1B">
        <w:rPr>
          <w:rFonts w:ascii="Times New Roman" w:hAnsi="Times New Roman" w:cs="Times New Roman"/>
          <w:color w:val="000000" w:themeColor="text1"/>
          <w:sz w:val="24"/>
          <w:szCs w:val="24"/>
        </w:rPr>
        <w:t xml:space="preserve"> To evaluate the survival outcomes and some related factors of R-GEMOX chemotherapy regimen in the treatment of relapsed/refractory B-cell non-Hodgkin lymphoma at K Hospital from 2019 to 2024</w:t>
      </w:r>
      <w:r>
        <w:rPr>
          <w:rFonts w:ascii="Times New Roman" w:hAnsi="Times New Roman" w:cs="Times New Roman"/>
          <w:color w:val="000000" w:themeColor="text1"/>
          <w:sz w:val="24"/>
          <w:szCs w:val="24"/>
        </w:rPr>
        <w:t>.</w:t>
      </w:r>
      <w:r w:rsidRPr="00081F1B">
        <w:rPr>
          <w:rFonts w:ascii="Times New Roman" w:hAnsi="Times New Roman" w:cs="Times New Roman"/>
          <w:color w:val="000000" w:themeColor="text1"/>
          <w:sz w:val="24"/>
          <w:szCs w:val="24"/>
        </w:rPr>
        <w:t xml:space="preserve"> </w:t>
      </w:r>
      <w:r w:rsidRPr="00081F1B">
        <w:rPr>
          <w:rFonts w:ascii="Times New Roman" w:hAnsi="Times New Roman" w:cs="Times New Roman"/>
          <w:b/>
          <w:bCs/>
          <w:color w:val="000000" w:themeColor="text1"/>
          <w:sz w:val="24"/>
          <w:szCs w:val="24"/>
        </w:rPr>
        <w:t>Subjects and methods:</w:t>
      </w:r>
      <w:r w:rsidRPr="00081F1B">
        <w:rPr>
          <w:rFonts w:ascii="Times New Roman" w:hAnsi="Times New Roman" w:cs="Times New Roman"/>
          <w:color w:val="000000" w:themeColor="text1"/>
          <w:sz w:val="24"/>
          <w:szCs w:val="24"/>
        </w:rPr>
        <w:t xml:space="preserve"> A cross-sectional descriptive study was conducted on 83 patients with relapsed/refractory B-cell non-Hodgkin lymphoma treated with RGEMOX regimen at the </w:t>
      </w:r>
      <w:r>
        <w:rPr>
          <w:rFonts w:ascii="Times New Roman" w:hAnsi="Times New Roman" w:cs="Times New Roman"/>
          <w:color w:val="000000" w:themeColor="text1"/>
          <w:sz w:val="24"/>
          <w:szCs w:val="24"/>
        </w:rPr>
        <w:t>Hematologic oncology department</w:t>
      </w:r>
      <w:r w:rsidRPr="00081F1B">
        <w:rPr>
          <w:rFonts w:ascii="Times New Roman" w:hAnsi="Times New Roman" w:cs="Times New Roman"/>
          <w:color w:val="000000" w:themeColor="text1"/>
          <w:sz w:val="24"/>
          <w:szCs w:val="24"/>
        </w:rPr>
        <w:t xml:space="preserve">, K Hospital from May 2019 to </w:t>
      </w:r>
      <w:r w:rsidR="00637686">
        <w:rPr>
          <w:rFonts w:ascii="Times New Roman" w:hAnsi="Times New Roman" w:cs="Times New Roman"/>
          <w:color w:val="000000" w:themeColor="text1"/>
          <w:sz w:val="24"/>
          <w:szCs w:val="24"/>
        </w:rPr>
        <w:t>June</w:t>
      </w:r>
      <w:r w:rsidRPr="00081F1B">
        <w:rPr>
          <w:rFonts w:ascii="Times New Roman" w:hAnsi="Times New Roman" w:cs="Times New Roman"/>
          <w:color w:val="000000" w:themeColor="text1"/>
          <w:sz w:val="24"/>
          <w:szCs w:val="24"/>
        </w:rPr>
        <w:t xml:space="preserve"> 2024. Results: The average age was 59.9; the male/female ratio was 1; The </w:t>
      </w:r>
      <w:r w:rsidR="00636050">
        <w:rPr>
          <w:rFonts w:ascii="Times New Roman" w:hAnsi="Times New Roman" w:cs="Times New Roman"/>
          <w:color w:val="000000" w:themeColor="text1"/>
          <w:sz w:val="24"/>
          <w:szCs w:val="24"/>
        </w:rPr>
        <w:t xml:space="preserve">overall response </w:t>
      </w:r>
      <w:r w:rsidRPr="00081F1B">
        <w:rPr>
          <w:rFonts w:ascii="Times New Roman" w:hAnsi="Times New Roman" w:cs="Times New Roman"/>
          <w:color w:val="000000" w:themeColor="text1"/>
          <w:sz w:val="24"/>
          <w:szCs w:val="24"/>
        </w:rPr>
        <w:t>rate was 51.8%, of which the complete response rate was 20.5%; partial response was 31.3%; The rate of</w:t>
      </w:r>
      <w:r w:rsidR="00636050">
        <w:rPr>
          <w:rFonts w:ascii="Times New Roman" w:hAnsi="Times New Roman" w:cs="Times New Roman"/>
          <w:color w:val="000000" w:themeColor="text1"/>
          <w:sz w:val="24"/>
          <w:szCs w:val="24"/>
        </w:rPr>
        <w:t xml:space="preserve"> stable</w:t>
      </w:r>
      <w:r w:rsidRPr="00081F1B">
        <w:rPr>
          <w:rFonts w:ascii="Times New Roman" w:hAnsi="Times New Roman" w:cs="Times New Roman"/>
          <w:color w:val="000000" w:themeColor="text1"/>
          <w:sz w:val="24"/>
          <w:szCs w:val="24"/>
        </w:rPr>
        <w:t xml:space="preserve"> disease was 4.8%; the rate of </w:t>
      </w:r>
      <w:r w:rsidR="00636050" w:rsidRPr="00081F1B">
        <w:rPr>
          <w:rFonts w:ascii="Times New Roman" w:hAnsi="Times New Roman" w:cs="Times New Roman"/>
          <w:color w:val="000000" w:themeColor="text1"/>
          <w:sz w:val="24"/>
          <w:szCs w:val="24"/>
        </w:rPr>
        <w:t xml:space="preserve">progression </w:t>
      </w:r>
      <w:r w:rsidRPr="00081F1B">
        <w:rPr>
          <w:rFonts w:ascii="Times New Roman" w:hAnsi="Times New Roman" w:cs="Times New Roman"/>
          <w:color w:val="000000" w:themeColor="text1"/>
          <w:sz w:val="24"/>
          <w:szCs w:val="24"/>
        </w:rPr>
        <w:t>disease was 43.4%; The median progression-free survival of the study was 13 months. The median overall survival of the study was 21 months. R</w:t>
      </w:r>
      <w:r w:rsidR="00636050">
        <w:rPr>
          <w:rFonts w:ascii="Times New Roman" w:hAnsi="Times New Roman" w:cs="Times New Roman"/>
          <w:color w:val="000000" w:themeColor="text1"/>
          <w:sz w:val="24"/>
          <w:szCs w:val="24"/>
        </w:rPr>
        <w:t>efractory</w:t>
      </w:r>
      <w:r w:rsidRPr="00081F1B">
        <w:rPr>
          <w:rFonts w:ascii="Times New Roman" w:hAnsi="Times New Roman" w:cs="Times New Roman"/>
          <w:color w:val="000000" w:themeColor="text1"/>
          <w:sz w:val="24"/>
          <w:szCs w:val="24"/>
        </w:rPr>
        <w:t xml:space="preserve"> was an independent prognostic factor for PFS (p&lt;0.05) and response after treatment was an independent prognostic factor for progression-free survival and overall survival with p&lt;0.001. </w:t>
      </w:r>
      <w:r w:rsidRPr="005D0EBE">
        <w:rPr>
          <w:rFonts w:ascii="Times New Roman" w:hAnsi="Times New Roman" w:cs="Times New Roman"/>
          <w:b/>
          <w:color w:val="000000" w:themeColor="text1"/>
          <w:sz w:val="24"/>
          <w:szCs w:val="24"/>
        </w:rPr>
        <w:t>Conclusion:</w:t>
      </w:r>
      <w:r w:rsidRPr="005D0EBE">
        <w:rPr>
          <w:rFonts w:ascii="Times New Roman" w:hAnsi="Times New Roman" w:cs="Times New Roman"/>
          <w:color w:val="000000" w:themeColor="text1"/>
          <w:sz w:val="24"/>
          <w:szCs w:val="24"/>
        </w:rPr>
        <w:t xml:space="preserve"> R-GEMOX regimen prolongs progression-free survival as well as overall </w:t>
      </w:r>
      <w:r w:rsidRPr="005D0EBE">
        <w:rPr>
          <w:rFonts w:ascii="Times New Roman" w:hAnsi="Times New Roman" w:cs="Times New Roman"/>
          <w:color w:val="000000" w:themeColor="text1"/>
          <w:sz w:val="24"/>
          <w:szCs w:val="24"/>
        </w:rPr>
        <w:lastRenderedPageBreak/>
        <w:t>survival and is safe for patients with relapsed/refractory B-cell non-Hodgkin lymphoma without high-dose chemotherapy indications.</w:t>
      </w:r>
    </w:p>
    <w:p w14:paraId="05E4881F" w14:textId="77777777" w:rsidR="005A34CE" w:rsidRPr="005D0EBE" w:rsidRDefault="00E33D3E" w:rsidP="005046DB">
      <w:pPr>
        <w:jc w:val="both"/>
        <w:rPr>
          <w:rFonts w:ascii="Times New Roman" w:hAnsi="Times New Roman" w:cs="Times New Roman"/>
          <w:color w:val="000000" w:themeColor="text1"/>
          <w:sz w:val="24"/>
          <w:szCs w:val="24"/>
        </w:rPr>
      </w:pPr>
      <w:r w:rsidRPr="005D0EBE">
        <w:rPr>
          <w:rFonts w:ascii="Times New Roman" w:hAnsi="Times New Roman" w:cs="Times New Roman"/>
          <w:color w:val="000000" w:themeColor="text1"/>
          <w:sz w:val="24"/>
          <w:szCs w:val="24"/>
        </w:rPr>
        <w:t xml:space="preserve">Key words: </w:t>
      </w:r>
      <w:r w:rsidR="00C84431" w:rsidRPr="005D0EBE">
        <w:rPr>
          <w:rFonts w:ascii="Times New Roman" w:hAnsi="Times New Roman" w:cs="Times New Roman"/>
          <w:color w:val="000000" w:themeColor="text1"/>
          <w:sz w:val="24"/>
          <w:szCs w:val="24"/>
        </w:rPr>
        <w:t xml:space="preserve">R/R </w:t>
      </w:r>
      <w:r w:rsidRPr="005D0EBE">
        <w:rPr>
          <w:rFonts w:ascii="Times New Roman" w:hAnsi="Times New Roman" w:cs="Times New Roman"/>
          <w:color w:val="000000" w:themeColor="text1"/>
          <w:sz w:val="24"/>
          <w:szCs w:val="24"/>
        </w:rPr>
        <w:t>NHL (</w:t>
      </w:r>
      <w:r w:rsidR="00C84431" w:rsidRPr="005D0EBE">
        <w:rPr>
          <w:rFonts w:ascii="Times New Roman" w:hAnsi="Times New Roman" w:cs="Times New Roman"/>
          <w:color w:val="000000" w:themeColor="text1"/>
          <w:sz w:val="24"/>
          <w:szCs w:val="24"/>
        </w:rPr>
        <w:t>Relapsed/R</w:t>
      </w:r>
      <w:r w:rsidRPr="005D0EBE">
        <w:rPr>
          <w:rFonts w:ascii="Times New Roman" w:hAnsi="Times New Roman" w:cs="Times New Roman"/>
          <w:color w:val="000000" w:themeColor="text1"/>
          <w:sz w:val="24"/>
          <w:szCs w:val="24"/>
        </w:rPr>
        <w:t>efractory B-cell non-Hodgkin lymphoma)</w:t>
      </w:r>
    </w:p>
    <w:p w14:paraId="2B46BE1E" w14:textId="77777777" w:rsidR="007B2650" w:rsidRPr="005D0EBE" w:rsidRDefault="005046DB" w:rsidP="005046DB">
      <w:pPr>
        <w:jc w:val="both"/>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 xml:space="preserve">1. </w:t>
      </w:r>
      <w:r w:rsidR="00872B80" w:rsidRPr="005D0EBE">
        <w:rPr>
          <w:rFonts w:ascii="Times New Roman" w:hAnsi="Times New Roman" w:cs="Times New Roman"/>
          <w:b/>
          <w:color w:val="000000" w:themeColor="text1"/>
          <w:sz w:val="24"/>
          <w:szCs w:val="24"/>
        </w:rPr>
        <w:t>Đặt vấn đ</w:t>
      </w:r>
      <w:r w:rsidR="00F95E58" w:rsidRPr="005D0EBE">
        <w:rPr>
          <w:rFonts w:ascii="Times New Roman" w:hAnsi="Times New Roman" w:cs="Times New Roman"/>
          <w:b/>
          <w:color w:val="000000" w:themeColor="text1"/>
          <w:sz w:val="24"/>
          <w:szCs w:val="24"/>
        </w:rPr>
        <w:t>ề</w:t>
      </w:r>
    </w:p>
    <w:p w14:paraId="5A8E546E" w14:textId="3CED0DCA" w:rsidR="000E227A" w:rsidRPr="005D0EBE" w:rsidRDefault="000E227A" w:rsidP="000E227A">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sidRPr="005D0EBE">
        <w:rPr>
          <w:rFonts w:ascii="Times New Roman" w:eastAsia="Times New Roman" w:hAnsi="Times New Roman" w:cs="Times New Roman"/>
          <w:color w:val="000000"/>
          <w:sz w:val="24"/>
          <w:szCs w:val="24"/>
        </w:rPr>
        <w:t>U lympho ác tính không Hodgkin (ULAKH) là một nhóm bệnh tăng sinh ác tính của mô lympho. Đây là một trong những bệnh ung thư phổ biến ở nhiều nước trên thế giới cũng như ở Việt Nam. Theo báo cáo của Tổ chức Ung thư Toàn cầu (GLOBOCAN) năm 2020, tỷ lệ mắc ULAKH chuẩn theo tuổi ở cả hai giới trên thế giới là 5,8/100.000 dân. Bệnh đứng thứ 11 trong số các bệnh ung thư trên thế giới. Ở Việt Nam, tỉ lệ mắc chuẩn theo tuổi chung cho cả 2 giới là 10,07/100.000 dân và là một trong số 13 bệnh ung thư thường gặp hiện nay.</w:t>
      </w:r>
    </w:p>
    <w:p w14:paraId="14632351" w14:textId="4F3EDBE9" w:rsidR="00557850" w:rsidRPr="005D0EBE" w:rsidRDefault="00557850" w:rsidP="00557850">
      <w:pPr>
        <w:spacing w:after="0" w:line="360" w:lineRule="auto"/>
        <w:ind w:firstLine="720"/>
        <w:jc w:val="both"/>
        <w:rPr>
          <w:rFonts w:ascii="Times New Roman" w:eastAsia="Times New Roman" w:hAnsi="Times New Roman" w:cs="Times New Roman"/>
          <w:color w:val="000000"/>
          <w:sz w:val="24"/>
          <w:szCs w:val="24"/>
        </w:rPr>
      </w:pPr>
      <w:r w:rsidRPr="005D0EBE">
        <w:rPr>
          <w:rFonts w:ascii="Times New Roman" w:eastAsia="Times New Roman" w:hAnsi="Times New Roman" w:cs="Times New Roman"/>
          <w:color w:val="000000"/>
          <w:sz w:val="24"/>
          <w:szCs w:val="24"/>
        </w:rPr>
        <w:t xml:space="preserve">ULAKH là một trong những bệnh ung thư có thể điều trị khỏi. Với sự tiến bộ của các phương pháp chẩn đoán giải phẫu bệnh, hóa mô miễn dịch, sinh học tế bào, sinh học phân tử đã giúp phân loại chi tiết và chính xác các thể mô bệnh học. Cùng với sự phát triển của các phương pháp điều trị như hóa trị, xạ trị, các kháng thể đơn dòng, một số thể bệnh ULAKH có thể chữa khỏi với tỷ lệ sống sau 5 năm đạt được từ 30-55%. Mặc dù vậy vẫn còn một tỷ lệ đáng kể bệnh nhân kháng trị hoặc tái phát sau điều trị ban đầu. </w:t>
      </w:r>
    </w:p>
    <w:p w14:paraId="32C64229" w14:textId="3DF3E087" w:rsidR="00C84431" w:rsidRPr="005D0EBE" w:rsidRDefault="005A34CE" w:rsidP="00557850">
      <w:pPr>
        <w:tabs>
          <w:tab w:val="left" w:pos="5954"/>
        </w:tabs>
        <w:spacing w:line="360" w:lineRule="auto"/>
        <w:ind w:firstLine="720"/>
        <w:jc w:val="both"/>
        <w:rPr>
          <w:rFonts w:ascii="Times New Roman" w:hAnsi="Times New Roman" w:cs="Times New Roman"/>
          <w:color w:val="000000" w:themeColor="text1"/>
          <w:sz w:val="24"/>
          <w:szCs w:val="24"/>
        </w:rPr>
      </w:pPr>
      <w:r w:rsidRPr="005D0EBE">
        <w:rPr>
          <w:rFonts w:ascii="Times New Roman" w:hAnsi="Times New Roman" w:cs="Times New Roman"/>
          <w:color w:val="000000" w:themeColor="text1"/>
          <w:sz w:val="24"/>
          <w:szCs w:val="24"/>
        </w:rPr>
        <w:t xml:space="preserve">Đa hóa trị liệu là một bước tiến lớn trong điều trị ung lympho không Hodgkin tái phát/kháng trị. Đến nay, liệu pháp điều trị hóa chất liều cao (HDT) với sự hỗ trợ ghép tế bào gốc tạo máu là phương pháp điều trị được lựa chọn cho bệnh nhân u lympho thể tiến triển nhanh tái phát/kháng trị nhạy cảm với hóa chất </w:t>
      </w:r>
      <w:hyperlink w:anchor="_ENREF_1" w:tooltip="Philip T, 1995 #2"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&lt;EndNote&gt;&lt;Cite&gt;&lt;Author&gt;Philip T&lt;/Author&gt;&lt;Year&gt;1995&lt;/Year&gt;&lt;RecNum&gt;2&lt;/RecNum&gt;&lt;DisplayText&gt;&lt;style face="superscript"&gt;1&lt;/style&gt;&lt;/DisplayText&gt;&lt;record&gt;&lt;rec-number&gt;2&lt;/rec-number&gt;&lt;foreign-keys&gt;&lt;key app="EN" db-id="55rp0zaau99stpeffsnx2ez1sxatx5axz59z" timestamp="1645962387"&gt;2&lt;/key&gt;&lt;/foreign-keys&gt;&lt;ref-type name="Journal Article"&gt;17&lt;/ref-type&gt;&lt;contributors&gt;&lt;authors&gt;&lt;author&gt;Philip T, &lt;/author&gt;&lt;author&gt;Guglielmi C, &lt;/author&gt;&lt;author&gt;Hagenbeek A et al.,&lt;/author&gt;&lt;/authors&gt;&lt;/contributors&gt;&lt;titles&gt;&lt;title&gt;Autologous bone marrow transplantation as compared with salvage chemotherapy in relapses of chemotherapy-sensitive non-Hodgkin’s lymphoma. &lt;/title&gt;&lt;secondary-title&gt;N Engl J Med&lt;/secondary-title&gt;&lt;/titles&gt;&lt;periodical&gt;&lt;full-title&gt;N Engl J Med&lt;/full-title&gt;&lt;/periodical&gt;&lt;pages&gt;1540–1545&lt;/pages&gt;&lt;volume&gt;333&lt;/volume&gt;&lt;dates&gt;&lt;year&gt;1995&lt;/year&gt;&lt;/dates&gt;&lt;urls&gt;&lt;/urls&gt;&lt;/record&gt;&lt;/Cite&gt;&lt;/EndNote&gt;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1</w:t>
        </w:r>
        <w:r w:rsidR="00355E48" w:rsidRPr="005D0EBE">
          <w:rPr>
            <w:rFonts w:ascii="Times New Roman" w:hAnsi="Times New Roman" w:cs="Times New Roman"/>
            <w:color w:val="000000" w:themeColor="text1"/>
            <w:sz w:val="24"/>
            <w:szCs w:val="24"/>
          </w:rPr>
          <w:fldChar w:fldCharType="end"/>
        </w:r>
      </w:hyperlink>
      <w:r w:rsidRPr="005D0EBE">
        <w:rPr>
          <w:rFonts w:ascii="Times New Roman" w:hAnsi="Times New Roman" w:cs="Times New Roman"/>
          <w:color w:val="000000" w:themeColor="text1"/>
          <w:sz w:val="24"/>
          <w:szCs w:val="24"/>
        </w:rPr>
        <w:t xml:space="preserve">. Trong khi đối với ung lympho không Hodgkin thể tiến triển chậm tái phát/kháng trị, cách tiếp cận này cũng có vẻ vượt trội hơn so với hóa trị cứu cánh thông thường </w:t>
      </w:r>
      <w:hyperlink w:anchor="_ENREF_2" w:tooltip="Schouten HC, 2003 #3"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&lt;EndNote&gt;&lt;Cite&gt;&lt;Author&gt;Schouten HC&lt;/Author&gt;&lt;Year&gt;2003&lt;/Year&gt;&lt;RecNum&gt;3&lt;/RecNum&gt;&lt;DisplayText&gt;&lt;style face="superscript"&gt;2&lt;/style&gt;&lt;/DisplayText&gt;&lt;record&gt;&lt;rec-number&gt;3&lt;/rec-number&gt;&lt;foreign-keys&gt;&lt;key app="EN" db-id="55rp0zaau99stpeffsnx2ez1sxatx5axz59z" timestamp="1645963045"&gt;3&lt;/key&gt;&lt;/foreign-keys&gt;&lt;ref-type name="Journal Article"&gt;17&lt;/ref-type&gt;&lt;contributors&gt;&lt;authors&gt;&lt;author&gt;Schouten HC, &lt;/author&gt;&lt;author&gt;Qian W, &lt;/author&gt;&lt;author&gt;Kvaloy S et al.,&lt;/author&gt;&lt;/authors&gt;&lt;/contributors&gt;&lt;titles&gt;&lt;title&gt;High-dose therapy improves progressionfree survival and survival in relapsed follicular non-Hodgkin’s lymphoma: results from the randomized European CUP trial.&lt;/title&gt;&lt;secondary-title&gt;J Clin Oncol &lt;/secondary-title&gt;&lt;/titles&gt;&lt;periodical&gt;&lt;full-title&gt;J Clin Oncol&lt;/full-title&gt;&lt;/periodical&gt;&lt;pages&gt;3918–3927&lt;/pages&gt;&lt;volume&gt;21&lt;/volume&gt;&lt;dates&gt;&lt;year&gt;2003&lt;/year&gt;&lt;/dates&gt;&lt;urls&gt;&lt;/urls&gt;&lt;/record&gt;&lt;/Cite&gt;&lt;/EndNote&gt;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2</w:t>
        </w:r>
        <w:r w:rsidR="00355E48" w:rsidRPr="005D0EBE">
          <w:rPr>
            <w:rFonts w:ascii="Times New Roman" w:hAnsi="Times New Roman" w:cs="Times New Roman"/>
            <w:color w:val="000000" w:themeColor="text1"/>
            <w:sz w:val="24"/>
            <w:szCs w:val="24"/>
          </w:rPr>
          <w:fldChar w:fldCharType="end"/>
        </w:r>
      </w:hyperlink>
      <w:r w:rsidRPr="005D0EBE">
        <w:rPr>
          <w:rFonts w:ascii="Times New Roman" w:hAnsi="Times New Roman" w:cs="Times New Roman"/>
          <w:color w:val="000000" w:themeColor="text1"/>
          <w:sz w:val="24"/>
          <w:szCs w:val="24"/>
        </w:rPr>
        <w:t>. Phác đồ R-GEMOX ra đời là cứu cánh của các bệnh nhân u lympho không Hodgkin tế bào B tái phát/kháng trị không đủ điều kiện điều trị hóa chất liều cao. Cơ chế tổng hợp tác dụng và độc tính không trùng lặp của rituximab, gemcitabine và oxaliplatin (R-GemOx) cho thấy các phác đồ kết hợp có chứa ba tác nhân này có thể lợi thế hơn trong điều trị u lympho không Hodgkin</w:t>
      </w:r>
      <w:r w:rsidR="0079368F" w:rsidRPr="005D0EBE">
        <w:rPr>
          <w:rFonts w:ascii="Times New Roman" w:hAnsi="Times New Roman" w:cs="Times New Roman"/>
          <w:color w:val="000000" w:themeColor="text1"/>
          <w:sz w:val="24"/>
          <w:szCs w:val="24"/>
        </w:rPr>
        <w:t xml:space="preserve"> tế bào B</w:t>
      </w:r>
      <w:r w:rsidRPr="005D0EBE">
        <w:rPr>
          <w:rFonts w:ascii="Times New Roman" w:hAnsi="Times New Roman" w:cs="Times New Roman"/>
          <w:color w:val="000000" w:themeColor="text1"/>
          <w:sz w:val="24"/>
          <w:szCs w:val="24"/>
        </w:rPr>
        <w:t xml:space="preserve"> tái phát/kháng trị so với các phác đồ thông thường về hiệu quả, an toàn và khả năng dung nạp</w:t>
      </w:r>
      <w:r w:rsidR="00B76744" w:rsidRPr="005D0EBE">
        <w:rPr>
          <w:rFonts w:ascii="Times New Roman" w:hAnsi="Times New Roman" w:cs="Times New Roman"/>
          <w:color w:val="000000" w:themeColor="text1"/>
          <w:sz w:val="24"/>
          <w:szCs w:val="24"/>
        </w:rPr>
        <w:t xml:space="preserve"> </w:t>
      </w:r>
      <w:hyperlink w:anchor="_ENREF_3" w:tooltip="T. El Gnaoui, 2007 #1"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&lt;EndNote&gt;&lt;Cite&gt;&lt;Author&gt;T. El Gnaoui&lt;/Author&gt;&lt;Year&gt;2007&lt;/Year&gt;&lt;RecNum&gt;1&lt;/RecNum&gt;&lt;DisplayText&gt;&lt;style face="superscript"&gt;3&lt;/style&gt;&lt;/DisplayText&gt;&lt;record&gt;&lt;rec-number&gt;1&lt;/rec-number&gt;&lt;foreign-keys&gt;&lt;key app="EN" db-id="55rp0zaau99stpeffsnx2ez1sxatx5axz59z" timestamp="1645962276"&gt;1&lt;/key&gt;&lt;/foreign-keys&gt;&lt;ref-type name="Journal Article"&gt;17&lt;/ref-type&gt;&lt;contributors&gt;&lt;authors&gt;&lt;author&gt;T. El Gnaoui, &lt;/author&gt;&lt;author&gt;J. Dupuis, &lt;/author&gt;&lt;author&gt;K. Belhadj et al.,&lt;/author&gt;&lt;/authors&gt;&lt;/contributors&gt;&lt;titles&gt;&lt;title&gt;Rituximab, gemcitabine and oxaliplatin: an effective salvage regimen for patients with relapsed or refractory B-cell lymphoma not candidates for high-dose therapy&lt;/title&gt;&lt;secondary-title&gt;Annals of Oncology&lt;/secondary-title&gt;&lt;/titles&gt;&lt;periodical&gt;&lt;full-title&gt;Annals of Oncology&lt;/full-title&gt;&lt;/periodical&gt;&lt;pages&gt;1363–1368&lt;/pages&gt;&lt;dates&gt;&lt;year&gt;2007&lt;/year&gt;&lt;/dates&gt;&lt;urls&gt;&lt;/urls&gt;&lt;/record&gt;&lt;/Cite&gt;&lt;/EndNote&gt;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3</w:t>
        </w:r>
        <w:r w:rsidR="00355E48" w:rsidRPr="005D0EBE">
          <w:rPr>
            <w:rFonts w:ascii="Times New Roman" w:hAnsi="Times New Roman" w:cs="Times New Roman"/>
            <w:color w:val="000000" w:themeColor="text1"/>
            <w:sz w:val="24"/>
            <w:szCs w:val="24"/>
          </w:rPr>
          <w:fldChar w:fldCharType="end"/>
        </w:r>
      </w:hyperlink>
      <w:r w:rsidR="00B76744" w:rsidRPr="005D0EBE">
        <w:rPr>
          <w:rFonts w:ascii="Times New Roman" w:hAnsi="Times New Roman" w:cs="Times New Roman"/>
          <w:color w:val="000000" w:themeColor="text1"/>
          <w:sz w:val="24"/>
          <w:szCs w:val="24"/>
        </w:rPr>
        <w:t>,</w:t>
      </w:r>
      <w:hyperlink w:anchor="_ENREF_4" w:tooltip="Fossa A, 1999 #7"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&lt;EndNote&gt;&lt;Cite&gt;&lt;Author&gt;Fossa A&lt;/Author&gt;&lt;Year&gt;1999&lt;/Year&gt;&lt;RecNum&gt;7&lt;/RecNum&gt;&lt;DisplayText&gt;&lt;style face="superscript"&gt;4&lt;/style&gt;&lt;/DisplayText&gt;&lt;record&gt;&lt;rec-number&gt;7&lt;/rec-number&gt;&lt;foreign-keys&gt;&lt;key app="EN" db-id="55rp0zaau99stpeffsnx2ez1sxatx5axz59z" timestamp="1645963290"&gt;7&lt;/key&gt;&lt;/foreign-keys&gt;&lt;ref-type name="Journal Article"&gt;17&lt;/ref-type&gt;&lt;contributors&gt;&lt;authors&gt;&lt;author&gt;Fossa A, &lt;/author&gt;&lt;author&gt;Santoro A, &lt;/author&gt;&lt;author&gt;Hiddemann W et al.,&lt;/author&gt;&lt;/authors&gt;&lt;/contributors&gt;&lt;titles&gt;&lt;title&gt;Gemcitabine as a single agent in the treatment of relapsed or refractory aggressive non-Hodgkin’s lymphoma&lt;/title&gt;&lt;secondary-title&gt;J Clin Oncol&lt;/secondary-title&gt;&lt;/titles&gt;&lt;periodical&gt;&lt;full-title&gt;J Clin Oncol&lt;/full-title&gt;&lt;/periodical&gt;&lt;pages&gt;3786–3792&lt;/pages&gt;&lt;volume&gt;17&lt;/volume&gt;&lt;dates&gt;&lt;year&gt;1999&lt;/year&gt;&lt;/dates&gt;&lt;urls&gt;&lt;/urls&gt;&lt;/record&gt;&lt;/Cite&gt;&lt;/EndNote&gt;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4</w:t>
        </w:r>
        <w:r w:rsidR="00355E48" w:rsidRPr="005D0EBE">
          <w:rPr>
            <w:rFonts w:ascii="Times New Roman" w:hAnsi="Times New Roman" w:cs="Times New Roman"/>
            <w:color w:val="000000" w:themeColor="text1"/>
            <w:sz w:val="24"/>
            <w:szCs w:val="24"/>
          </w:rPr>
          <w:fldChar w:fldCharType="end"/>
        </w:r>
      </w:hyperlink>
      <w:r w:rsidRPr="005D0EBE">
        <w:rPr>
          <w:rFonts w:ascii="Times New Roman" w:hAnsi="Times New Roman" w:cs="Times New Roman"/>
          <w:color w:val="000000" w:themeColor="text1"/>
          <w:sz w:val="24"/>
          <w:szCs w:val="24"/>
        </w:rPr>
        <w:t>.</w:t>
      </w:r>
    </w:p>
    <w:p w14:paraId="7AE4EA1F" w14:textId="77777777" w:rsidR="0011465C" w:rsidRPr="005D0EBE" w:rsidRDefault="005046DB" w:rsidP="005A34CE">
      <w:pPr>
        <w:spacing w:after="120"/>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2.</w:t>
      </w:r>
      <w:r w:rsidR="0011465C" w:rsidRPr="005D0EBE">
        <w:rPr>
          <w:rFonts w:ascii="Times New Roman" w:hAnsi="Times New Roman" w:cs="Times New Roman"/>
          <w:b/>
          <w:color w:val="000000" w:themeColor="text1"/>
          <w:sz w:val="24"/>
          <w:szCs w:val="24"/>
        </w:rPr>
        <w:t xml:space="preserve">  Đối tượng và phương pháp nghiên cứu:</w:t>
      </w:r>
    </w:p>
    <w:p w14:paraId="3AF68F30" w14:textId="77777777" w:rsidR="0011465C" w:rsidRPr="005D0EBE" w:rsidRDefault="005046DB" w:rsidP="005046DB">
      <w:pPr>
        <w:spacing w:after="120"/>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 xml:space="preserve">2.1. </w:t>
      </w:r>
      <w:r w:rsidR="0011465C" w:rsidRPr="005D0EBE">
        <w:rPr>
          <w:rFonts w:ascii="Times New Roman" w:hAnsi="Times New Roman" w:cs="Times New Roman"/>
          <w:b/>
          <w:color w:val="000000" w:themeColor="text1"/>
          <w:sz w:val="24"/>
          <w:szCs w:val="24"/>
        </w:rPr>
        <w:t>Đối tượng nghiên cứu</w:t>
      </w:r>
    </w:p>
    <w:p w14:paraId="1FDFFBE2" w14:textId="77777777" w:rsidR="0011465C" w:rsidRPr="005D0EBE" w:rsidRDefault="0011465C" w:rsidP="005046DB">
      <w:pPr>
        <w:pStyle w:val="33"/>
        <w:spacing w:line="276" w:lineRule="auto"/>
        <w:rPr>
          <w:color w:val="000000" w:themeColor="text1"/>
          <w:sz w:val="24"/>
          <w:szCs w:val="24"/>
        </w:rPr>
      </w:pPr>
      <w:r w:rsidRPr="005D0EBE">
        <w:rPr>
          <w:color w:val="000000" w:themeColor="text1"/>
          <w:sz w:val="24"/>
          <w:szCs w:val="24"/>
        </w:rPr>
        <w:t>a, Tiêu chuẩn lựa chọn</w:t>
      </w:r>
    </w:p>
    <w:p w14:paraId="6ECEBF9A" w14:textId="086DD292" w:rsidR="005A34CE" w:rsidRPr="005D0EBE" w:rsidRDefault="005A34CE" w:rsidP="00AC4A1B">
      <w:pPr>
        <w:spacing w:after="0" w:line="360" w:lineRule="auto"/>
        <w:rPr>
          <w:rFonts w:ascii="Times New Roman" w:hAnsi="Times New Roman" w:cs="Times New Roman"/>
          <w:color w:val="000000" w:themeColor="text1"/>
          <w:sz w:val="24"/>
          <w:szCs w:val="24"/>
        </w:rPr>
      </w:pPr>
      <w:bookmarkStart w:id="1" w:name="_Toc425499338"/>
      <w:r w:rsidRPr="005D0EBE">
        <w:rPr>
          <w:rFonts w:ascii="Times New Roman" w:hAnsi="Times New Roman" w:cs="Times New Roman"/>
          <w:color w:val="000000" w:themeColor="text1"/>
          <w:sz w:val="24"/>
          <w:szCs w:val="24"/>
        </w:rPr>
        <w:lastRenderedPageBreak/>
        <w:t>Tất cả các bệnh nhân được chẩn đoán u lympho không Hodgkin</w:t>
      </w:r>
      <w:r w:rsidR="0079368F" w:rsidRPr="005D0EBE">
        <w:rPr>
          <w:rFonts w:ascii="Times New Roman" w:hAnsi="Times New Roman" w:cs="Times New Roman"/>
          <w:color w:val="000000" w:themeColor="text1"/>
          <w:sz w:val="24"/>
          <w:szCs w:val="24"/>
        </w:rPr>
        <w:t xml:space="preserve"> tế bào B</w:t>
      </w:r>
      <w:r w:rsidRPr="005D0EBE">
        <w:rPr>
          <w:rFonts w:ascii="Times New Roman" w:hAnsi="Times New Roman" w:cs="Times New Roman"/>
          <w:color w:val="000000" w:themeColor="text1"/>
          <w:sz w:val="24"/>
          <w:szCs w:val="24"/>
        </w:rPr>
        <w:t xml:space="preserve"> tái phát/kháng trị tại bệnh viện K đáp ứng các tiêu chuẩn chọn mẫu sau:</w:t>
      </w:r>
    </w:p>
    <w:p w14:paraId="732FA492" w14:textId="33A0D3F5" w:rsidR="005A34CE" w:rsidRPr="005D0EBE" w:rsidRDefault="005A34CE" w:rsidP="002E11B4">
      <w:pPr>
        <w:pStyle w:val="ListParagraph"/>
        <w:numPr>
          <w:ilvl w:val="0"/>
          <w:numId w:val="7"/>
        </w:numPr>
        <w:spacing w:line="360" w:lineRule="auto"/>
        <w:rPr>
          <w:rFonts w:ascii="Times New Roman" w:hAnsi="Times New Roman"/>
          <w:color w:val="000000" w:themeColor="text1"/>
          <w:sz w:val="24"/>
          <w:szCs w:val="24"/>
        </w:rPr>
      </w:pPr>
      <w:r w:rsidRPr="005D0EBE">
        <w:rPr>
          <w:rFonts w:ascii="Times New Roman" w:hAnsi="Times New Roman"/>
          <w:color w:val="000000" w:themeColor="text1"/>
          <w:sz w:val="24"/>
          <w:szCs w:val="24"/>
        </w:rPr>
        <w:t xml:space="preserve">Từ đủ 18 tuổi </w:t>
      </w:r>
      <w:r w:rsidR="002E11B4" w:rsidRPr="005D0EBE">
        <w:rPr>
          <w:rFonts w:ascii="Times New Roman" w:hAnsi="Times New Roman"/>
          <w:color w:val="000000" w:themeColor="text1"/>
          <w:sz w:val="24"/>
          <w:szCs w:val="24"/>
        </w:rPr>
        <w:t>v</w:t>
      </w:r>
      <w:r w:rsidR="00BF0470" w:rsidRPr="005D0EBE">
        <w:rPr>
          <w:rFonts w:ascii="Times New Roman" w:hAnsi="Times New Roman"/>
          <w:color w:val="000000" w:themeColor="text1"/>
          <w:sz w:val="24"/>
          <w:szCs w:val="24"/>
        </w:rPr>
        <w:t>ới c</w:t>
      </w:r>
      <w:r w:rsidRPr="005D0EBE">
        <w:rPr>
          <w:rFonts w:ascii="Times New Roman" w:hAnsi="Times New Roman"/>
          <w:color w:val="000000" w:themeColor="text1"/>
          <w:sz w:val="24"/>
          <w:szCs w:val="24"/>
        </w:rPr>
        <w:t>hẩn đoán là u lympho không Hodgkin đã điều trị hóa trị trước đây.</w:t>
      </w:r>
    </w:p>
    <w:p w14:paraId="05C96BBB" w14:textId="5A5675CA" w:rsidR="005A34CE" w:rsidRPr="005D0EBE" w:rsidRDefault="005A34CE" w:rsidP="005A34CE">
      <w:pPr>
        <w:pStyle w:val="ListParagraph"/>
        <w:numPr>
          <w:ilvl w:val="0"/>
          <w:numId w:val="7"/>
        </w:numPr>
        <w:spacing w:line="360" w:lineRule="auto"/>
        <w:rPr>
          <w:rFonts w:ascii="Times New Roman" w:hAnsi="Times New Roman"/>
          <w:color w:val="000000" w:themeColor="text1"/>
          <w:sz w:val="24"/>
          <w:szCs w:val="24"/>
        </w:rPr>
      </w:pPr>
      <w:r w:rsidRPr="005D0EBE">
        <w:rPr>
          <w:rFonts w:ascii="Times New Roman" w:hAnsi="Times New Roman"/>
          <w:color w:val="000000" w:themeColor="text1"/>
          <w:sz w:val="24"/>
          <w:szCs w:val="24"/>
        </w:rPr>
        <w:t>Kết quả hóa mô miễn dịch chẩn đoán xác định là u lympho không Hodgkin, CD 20 (+)</w:t>
      </w:r>
      <w:r w:rsidR="00A87709" w:rsidRPr="005D0EBE">
        <w:rPr>
          <w:rFonts w:ascii="Times New Roman" w:hAnsi="Times New Roman"/>
          <w:color w:val="000000" w:themeColor="text1"/>
          <w:sz w:val="24"/>
          <w:szCs w:val="24"/>
        </w:rPr>
        <w:t>.</w:t>
      </w:r>
    </w:p>
    <w:p w14:paraId="1B368D9F" w14:textId="26490520" w:rsidR="005A34CE" w:rsidRPr="005D0EBE" w:rsidRDefault="005A34CE" w:rsidP="005A34CE">
      <w:pPr>
        <w:pStyle w:val="ListParagraph"/>
        <w:numPr>
          <w:ilvl w:val="0"/>
          <w:numId w:val="7"/>
        </w:numPr>
        <w:spacing w:line="360" w:lineRule="auto"/>
        <w:rPr>
          <w:rFonts w:ascii="Times New Roman" w:hAnsi="Times New Roman"/>
          <w:color w:val="000000" w:themeColor="text1"/>
          <w:sz w:val="24"/>
          <w:szCs w:val="24"/>
        </w:rPr>
      </w:pPr>
      <w:r w:rsidRPr="005D0EBE">
        <w:rPr>
          <w:rFonts w:ascii="Times New Roman" w:hAnsi="Times New Roman"/>
          <w:color w:val="000000" w:themeColor="text1"/>
          <w:sz w:val="24"/>
          <w:szCs w:val="24"/>
        </w:rPr>
        <w:t>Không đủ tiêu chuẩn hoặc từ chối điều trị hóa chất liều cao + ghép tế bào gốc</w:t>
      </w:r>
      <w:r w:rsidR="00A87709" w:rsidRPr="005D0EBE">
        <w:rPr>
          <w:rFonts w:ascii="Times New Roman" w:hAnsi="Times New Roman"/>
          <w:color w:val="000000" w:themeColor="text1"/>
          <w:sz w:val="24"/>
          <w:szCs w:val="24"/>
        </w:rPr>
        <w:t>.</w:t>
      </w:r>
    </w:p>
    <w:p w14:paraId="16E3D871" w14:textId="5BA553E2" w:rsidR="005A34CE" w:rsidRPr="005D0EBE" w:rsidRDefault="00A87709" w:rsidP="005A34CE">
      <w:pPr>
        <w:pStyle w:val="ListParagraph"/>
        <w:numPr>
          <w:ilvl w:val="0"/>
          <w:numId w:val="7"/>
        </w:numPr>
        <w:spacing w:line="360" w:lineRule="auto"/>
        <w:rPr>
          <w:rFonts w:ascii="Times New Roman" w:hAnsi="Times New Roman"/>
          <w:color w:val="000000" w:themeColor="text1"/>
          <w:sz w:val="24"/>
          <w:szCs w:val="24"/>
        </w:rPr>
      </w:pPr>
      <w:r w:rsidRPr="005D0EBE">
        <w:rPr>
          <w:rFonts w:ascii="Times New Roman" w:hAnsi="Times New Roman"/>
          <w:color w:val="000000" w:themeColor="text1"/>
          <w:sz w:val="24"/>
          <w:szCs w:val="24"/>
        </w:rPr>
        <w:t>Chức năng gan thận và xét nghiệm công thức máu ở ngưỡng cho phép điều trị</w:t>
      </w:r>
      <w:r w:rsidR="005A34CE" w:rsidRPr="005D0EBE">
        <w:rPr>
          <w:rFonts w:ascii="Times New Roman" w:hAnsi="Times New Roman"/>
          <w:color w:val="000000" w:themeColor="text1"/>
          <w:sz w:val="24"/>
          <w:szCs w:val="24"/>
        </w:rPr>
        <w:t>.</w:t>
      </w:r>
    </w:p>
    <w:p w14:paraId="34EE2074" w14:textId="6C529298" w:rsidR="00AC4A1B" w:rsidRPr="005D0EBE" w:rsidRDefault="005A34CE" w:rsidP="00AC4A1B">
      <w:pPr>
        <w:pStyle w:val="ListParagraph"/>
        <w:numPr>
          <w:ilvl w:val="0"/>
          <w:numId w:val="7"/>
        </w:numPr>
        <w:spacing w:after="0" w:line="360" w:lineRule="auto"/>
        <w:rPr>
          <w:rFonts w:ascii="Times New Roman" w:hAnsi="Times New Roman"/>
          <w:color w:val="000000" w:themeColor="text1"/>
          <w:sz w:val="24"/>
          <w:szCs w:val="24"/>
        </w:rPr>
      </w:pPr>
      <w:r w:rsidRPr="005D0EBE">
        <w:rPr>
          <w:rFonts w:ascii="Times New Roman" w:hAnsi="Times New Roman"/>
          <w:color w:val="000000" w:themeColor="text1"/>
          <w:sz w:val="24"/>
          <w:szCs w:val="24"/>
        </w:rPr>
        <w:t>Bệnh nhân đồng ý điều trị hóa trị</w:t>
      </w:r>
      <w:r w:rsidR="00406D74" w:rsidRPr="005D0EBE">
        <w:rPr>
          <w:rFonts w:ascii="Times New Roman" w:hAnsi="Times New Roman"/>
          <w:color w:val="000000" w:themeColor="text1"/>
          <w:sz w:val="24"/>
          <w:szCs w:val="24"/>
        </w:rPr>
        <w:t xml:space="preserve"> phác đồ R-GEMOX</w:t>
      </w:r>
      <w:r w:rsidRPr="005D0EBE">
        <w:rPr>
          <w:rFonts w:ascii="Times New Roman" w:hAnsi="Times New Roman"/>
          <w:color w:val="000000" w:themeColor="text1"/>
          <w:sz w:val="24"/>
          <w:szCs w:val="24"/>
        </w:rPr>
        <w:t>.</w:t>
      </w:r>
    </w:p>
    <w:p w14:paraId="2E5FD649" w14:textId="77777777" w:rsidR="0011465C" w:rsidRPr="005D0EBE" w:rsidRDefault="0011465C" w:rsidP="00AC4A1B">
      <w:pPr>
        <w:spacing w:after="0" w:line="360" w:lineRule="auto"/>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b, Tiêu chuẩn loại trừ</w:t>
      </w:r>
      <w:bookmarkEnd w:id="1"/>
    </w:p>
    <w:p w14:paraId="2DAC87B0" w14:textId="47A00D61" w:rsidR="005A34CE" w:rsidRPr="005D0EBE" w:rsidRDefault="005A34CE" w:rsidP="005A34CE">
      <w:pPr>
        <w:pStyle w:val="ListParagraph"/>
        <w:numPr>
          <w:ilvl w:val="0"/>
          <w:numId w:val="7"/>
        </w:numPr>
        <w:spacing w:after="0"/>
        <w:rPr>
          <w:rFonts w:ascii="Times New Roman" w:hAnsi="Times New Roman"/>
          <w:color w:val="000000" w:themeColor="text1"/>
          <w:sz w:val="24"/>
          <w:szCs w:val="24"/>
        </w:rPr>
      </w:pPr>
      <w:r w:rsidRPr="005D0EBE">
        <w:rPr>
          <w:rFonts w:ascii="Times New Roman" w:hAnsi="Times New Roman"/>
          <w:color w:val="000000" w:themeColor="text1"/>
          <w:sz w:val="24"/>
          <w:szCs w:val="24"/>
        </w:rPr>
        <w:t>Dấu hiệu hoạt động của HBV, HCV, HIV.</w:t>
      </w:r>
    </w:p>
    <w:p w14:paraId="622E1C27" w14:textId="247E8F37" w:rsidR="00A87709" w:rsidRPr="005D0EBE" w:rsidRDefault="00A87709" w:rsidP="005A34CE">
      <w:pPr>
        <w:pStyle w:val="ListParagraph"/>
        <w:numPr>
          <w:ilvl w:val="0"/>
          <w:numId w:val="7"/>
        </w:numPr>
        <w:spacing w:after="0"/>
        <w:rPr>
          <w:rFonts w:ascii="Times New Roman" w:hAnsi="Times New Roman"/>
          <w:color w:val="000000" w:themeColor="text1"/>
          <w:sz w:val="24"/>
          <w:szCs w:val="24"/>
        </w:rPr>
      </w:pPr>
      <w:r w:rsidRPr="005D0EBE">
        <w:rPr>
          <w:rFonts w:ascii="Times New Roman" w:hAnsi="Times New Roman"/>
          <w:color w:val="000000" w:themeColor="text1"/>
          <w:sz w:val="24"/>
          <w:szCs w:val="24"/>
        </w:rPr>
        <w:t>Độc tính ≥ độ 3 do hóa trị trước đó.</w:t>
      </w:r>
    </w:p>
    <w:p w14:paraId="4EDE2442" w14:textId="77777777" w:rsidR="005A34CE" w:rsidRPr="005D0EBE" w:rsidRDefault="005A34CE" w:rsidP="005A34CE">
      <w:pPr>
        <w:pStyle w:val="ListParagraph"/>
        <w:numPr>
          <w:ilvl w:val="0"/>
          <w:numId w:val="7"/>
        </w:numPr>
        <w:spacing w:after="0"/>
        <w:rPr>
          <w:rFonts w:ascii="Times New Roman" w:hAnsi="Times New Roman"/>
          <w:color w:val="000000" w:themeColor="text1"/>
          <w:sz w:val="24"/>
          <w:szCs w:val="24"/>
        </w:rPr>
      </w:pPr>
      <w:r w:rsidRPr="005D0EBE">
        <w:rPr>
          <w:rFonts w:ascii="Times New Roman" w:hAnsi="Times New Roman"/>
          <w:color w:val="000000" w:themeColor="text1"/>
          <w:sz w:val="24"/>
          <w:szCs w:val="24"/>
        </w:rPr>
        <w:t>Phụ nữ có thai hoặc cho con bú.</w:t>
      </w:r>
    </w:p>
    <w:p w14:paraId="3B21D018" w14:textId="77777777" w:rsidR="0011465C" w:rsidRPr="005D0EBE" w:rsidRDefault="005046DB" w:rsidP="005F0D9E">
      <w:pPr>
        <w:spacing w:after="0"/>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2.2.</w:t>
      </w:r>
      <w:r w:rsidR="0011465C" w:rsidRPr="005D0EBE">
        <w:rPr>
          <w:rFonts w:ascii="Times New Roman" w:hAnsi="Times New Roman" w:cs="Times New Roman"/>
          <w:b/>
          <w:color w:val="000000" w:themeColor="text1"/>
          <w:sz w:val="24"/>
          <w:szCs w:val="24"/>
        </w:rPr>
        <w:t xml:space="preserve"> </w:t>
      </w:r>
      <w:r w:rsidR="00FD4E8E" w:rsidRPr="005D0EBE">
        <w:rPr>
          <w:rFonts w:ascii="Times New Roman" w:hAnsi="Times New Roman" w:cs="Times New Roman"/>
          <w:b/>
          <w:color w:val="000000" w:themeColor="text1"/>
          <w:sz w:val="24"/>
          <w:szCs w:val="24"/>
        </w:rPr>
        <w:t>Phương pháp nghiên cứ</w:t>
      </w:r>
      <w:r w:rsidR="006D0D89" w:rsidRPr="005D0EBE">
        <w:rPr>
          <w:rFonts w:ascii="Times New Roman" w:hAnsi="Times New Roman" w:cs="Times New Roman"/>
          <w:b/>
          <w:color w:val="000000" w:themeColor="text1"/>
          <w:sz w:val="24"/>
          <w:szCs w:val="24"/>
        </w:rPr>
        <w:t>u</w:t>
      </w:r>
    </w:p>
    <w:p w14:paraId="1B38F393" w14:textId="7370D8F1" w:rsidR="0011465C" w:rsidRPr="005D0EBE" w:rsidRDefault="0011465C" w:rsidP="005F0D9E">
      <w:pPr>
        <w:spacing w:after="0"/>
        <w:jc w:val="both"/>
        <w:rPr>
          <w:rFonts w:ascii="Times New Roman" w:hAnsi="Times New Roman" w:cs="Times New Roman"/>
          <w:color w:val="000000" w:themeColor="text1"/>
          <w:sz w:val="24"/>
          <w:szCs w:val="24"/>
        </w:rPr>
      </w:pPr>
      <w:r w:rsidRPr="005D0EBE">
        <w:rPr>
          <w:rFonts w:ascii="Times New Roman" w:hAnsi="Times New Roman" w:cs="Times New Roman"/>
          <w:color w:val="000000" w:themeColor="text1"/>
          <w:sz w:val="24"/>
          <w:szCs w:val="24"/>
        </w:rPr>
        <w:t xml:space="preserve">Nghiên cứu </w:t>
      </w:r>
      <w:r w:rsidR="000E4D13" w:rsidRPr="005D0EBE">
        <w:rPr>
          <w:rFonts w:ascii="Times New Roman" w:hAnsi="Times New Roman" w:cs="Times New Roman"/>
          <w:color w:val="000000" w:themeColor="text1"/>
          <w:sz w:val="24"/>
          <w:szCs w:val="24"/>
        </w:rPr>
        <w:t xml:space="preserve">tiến cứu </w:t>
      </w:r>
      <w:r w:rsidR="005A34CE" w:rsidRPr="005D0EBE">
        <w:rPr>
          <w:rFonts w:ascii="Times New Roman" w:hAnsi="Times New Roman" w:cs="Times New Roman"/>
          <w:color w:val="000000" w:themeColor="text1"/>
          <w:sz w:val="24"/>
          <w:szCs w:val="24"/>
        </w:rPr>
        <w:t>mô tả cắt ngang</w:t>
      </w:r>
      <w:r w:rsidRPr="005D0EBE">
        <w:rPr>
          <w:rFonts w:ascii="Times New Roman" w:hAnsi="Times New Roman" w:cs="Times New Roman"/>
          <w:color w:val="000000" w:themeColor="text1"/>
          <w:sz w:val="24"/>
          <w:szCs w:val="24"/>
        </w:rPr>
        <w:t xml:space="preserve"> tiến hành </w:t>
      </w:r>
      <w:r w:rsidR="00FD4E8E" w:rsidRPr="005D0EBE">
        <w:rPr>
          <w:rFonts w:ascii="Times New Roman" w:hAnsi="Times New Roman" w:cs="Times New Roman"/>
          <w:color w:val="000000" w:themeColor="text1"/>
          <w:sz w:val="24"/>
          <w:szCs w:val="24"/>
        </w:rPr>
        <w:t xml:space="preserve">trên </w:t>
      </w:r>
      <w:r w:rsidR="00406D74" w:rsidRPr="005D0EBE">
        <w:rPr>
          <w:rFonts w:ascii="Times New Roman" w:hAnsi="Times New Roman" w:cs="Times New Roman"/>
          <w:color w:val="000000" w:themeColor="text1"/>
          <w:sz w:val="24"/>
          <w:szCs w:val="24"/>
        </w:rPr>
        <w:t>83</w:t>
      </w:r>
      <w:r w:rsidR="00664AC0" w:rsidRPr="005D0EBE">
        <w:rPr>
          <w:rFonts w:ascii="Times New Roman" w:hAnsi="Times New Roman" w:cs="Times New Roman"/>
          <w:color w:val="000000" w:themeColor="text1"/>
          <w:sz w:val="24"/>
          <w:szCs w:val="24"/>
        </w:rPr>
        <w:t xml:space="preserve"> </w:t>
      </w:r>
      <w:r w:rsidR="00FD4E8E" w:rsidRPr="005D0EBE">
        <w:rPr>
          <w:rFonts w:ascii="Times New Roman" w:hAnsi="Times New Roman" w:cs="Times New Roman"/>
          <w:color w:val="000000" w:themeColor="text1"/>
          <w:sz w:val="24"/>
          <w:szCs w:val="24"/>
        </w:rPr>
        <w:t xml:space="preserve">bệnh nhân </w:t>
      </w:r>
      <w:r w:rsidR="005A34CE" w:rsidRPr="005D0EBE">
        <w:rPr>
          <w:rFonts w:ascii="Times New Roman" w:hAnsi="Times New Roman" w:cs="Times New Roman"/>
          <w:color w:val="000000" w:themeColor="text1"/>
          <w:sz w:val="24"/>
          <w:szCs w:val="24"/>
        </w:rPr>
        <w:t>u lympho không Hodgkin tế bào B tái phát/kháng trị</w:t>
      </w:r>
      <w:r w:rsidR="00FD4E8E" w:rsidRPr="005D0EBE">
        <w:rPr>
          <w:rFonts w:ascii="Times New Roman" w:hAnsi="Times New Roman" w:cs="Times New Roman"/>
          <w:color w:val="000000" w:themeColor="text1"/>
          <w:sz w:val="24"/>
          <w:szCs w:val="24"/>
        </w:rPr>
        <w:t xml:space="preserve"> </w:t>
      </w:r>
      <w:r w:rsidRPr="005D0EBE">
        <w:rPr>
          <w:rFonts w:ascii="Times New Roman" w:hAnsi="Times New Roman" w:cs="Times New Roman"/>
          <w:color w:val="000000" w:themeColor="text1"/>
          <w:sz w:val="24"/>
          <w:szCs w:val="24"/>
        </w:rPr>
        <w:t xml:space="preserve">từ tháng 05/2019 đến tháng </w:t>
      </w:r>
      <w:r w:rsidR="005C755C" w:rsidRPr="005D0EBE">
        <w:rPr>
          <w:rFonts w:ascii="Times New Roman" w:hAnsi="Times New Roman" w:cs="Times New Roman"/>
          <w:color w:val="000000" w:themeColor="text1"/>
          <w:sz w:val="24"/>
          <w:szCs w:val="24"/>
        </w:rPr>
        <w:t>06</w:t>
      </w:r>
      <w:r w:rsidRPr="005D0EBE">
        <w:rPr>
          <w:rFonts w:ascii="Times New Roman" w:hAnsi="Times New Roman" w:cs="Times New Roman"/>
          <w:color w:val="000000" w:themeColor="text1"/>
          <w:sz w:val="24"/>
          <w:szCs w:val="24"/>
        </w:rPr>
        <w:t>/202</w:t>
      </w:r>
      <w:r w:rsidR="005C755C" w:rsidRPr="005D0EBE">
        <w:rPr>
          <w:rFonts w:ascii="Times New Roman" w:hAnsi="Times New Roman" w:cs="Times New Roman"/>
          <w:color w:val="000000" w:themeColor="text1"/>
          <w:sz w:val="24"/>
          <w:szCs w:val="24"/>
        </w:rPr>
        <w:t>4</w:t>
      </w:r>
      <w:r w:rsidRPr="005D0EBE">
        <w:rPr>
          <w:rFonts w:ascii="Times New Roman" w:hAnsi="Times New Roman" w:cs="Times New Roman"/>
          <w:color w:val="000000" w:themeColor="text1"/>
          <w:sz w:val="24"/>
          <w:szCs w:val="24"/>
        </w:rPr>
        <w:t xml:space="preserve"> tại Khoa Nội Hệ tạo Huyết – Bệnh viện K3 cơ sở Tân Triều</w:t>
      </w:r>
      <w:r w:rsidR="005D7777" w:rsidRPr="005D0EBE">
        <w:rPr>
          <w:rFonts w:ascii="Times New Roman" w:hAnsi="Times New Roman" w:cs="Times New Roman"/>
          <w:color w:val="000000" w:themeColor="text1"/>
          <w:sz w:val="24"/>
          <w:szCs w:val="24"/>
        </w:rPr>
        <w:t>.</w:t>
      </w:r>
    </w:p>
    <w:p w14:paraId="72E5137C" w14:textId="43710180" w:rsidR="00B56BFA" w:rsidRPr="005D0EBE" w:rsidRDefault="00B56BFA" w:rsidP="005F0D9E">
      <w:pPr>
        <w:spacing w:after="0"/>
        <w:jc w:val="both"/>
        <w:rPr>
          <w:rFonts w:ascii="Times New Roman" w:hAnsi="Times New Roman" w:cs="Times New Roman"/>
          <w:color w:val="000000" w:themeColor="text1"/>
          <w:sz w:val="24"/>
          <w:szCs w:val="24"/>
        </w:rPr>
      </w:pPr>
      <w:r w:rsidRPr="005D0EBE">
        <w:rPr>
          <w:rFonts w:ascii="Times New Roman" w:hAnsi="Times New Roman" w:cs="Times New Roman"/>
          <w:color w:val="000000" w:themeColor="text1"/>
          <w:sz w:val="24"/>
          <w:szCs w:val="24"/>
        </w:rPr>
        <w:t>Phác đồ điều trị</w:t>
      </w:r>
      <w:r w:rsidR="005A34CE" w:rsidRPr="005D0EBE">
        <w:rPr>
          <w:rFonts w:ascii="Times New Roman" w:hAnsi="Times New Roman" w:cs="Times New Roman"/>
          <w:color w:val="000000" w:themeColor="text1"/>
          <w:sz w:val="24"/>
          <w:szCs w:val="24"/>
        </w:rPr>
        <w:t>: R-GEMOX</w:t>
      </w:r>
      <w:r w:rsidR="00B76744" w:rsidRPr="005D0EBE">
        <w:rPr>
          <w:rFonts w:ascii="Times New Roman" w:hAnsi="Times New Roman" w:cs="Times New Roman"/>
          <w:color w:val="000000" w:themeColor="text1"/>
          <w:sz w:val="24"/>
          <w:szCs w:val="24"/>
        </w:rPr>
        <w:t xml:space="preserve"> </w:t>
      </w:r>
      <w:hyperlink w:anchor="_ENREF_5" w:tooltip="Andrew D.Z. et al., 2020 #6" w:history="1">
        <w:r w:rsidR="00355E48" w:rsidRPr="005D0EBE">
          <w:rPr>
            <w:rFonts w:ascii="Times New Roman" w:hAnsi="Times New Roman" w:cs="Times New Roman"/>
            <w:b/>
            <w:color w:val="000000" w:themeColor="text1"/>
            <w:sz w:val="24"/>
            <w:szCs w:val="24"/>
          </w:rPr>
          <w:fldChar w:fldCharType="begin"/>
        </w:r>
        <w:r w:rsidR="00355E48" w:rsidRPr="005D0EBE">
          <w:rPr>
            <w:rFonts w:ascii="Times New Roman" w:hAnsi="Times New Roman" w:cs="Times New Roman"/>
            <w:b/>
            <w:color w:val="000000" w:themeColor="text1"/>
            <w:sz w:val="24"/>
            <w:szCs w:val="24"/>
          </w:rPr>
          <w:instrText xml:space="preserve"> ADDIN EN.CITE &lt;EndNote&gt;&lt;Cite&gt;&lt;Author&gt;Andrew D.Z. et al.&lt;/Author&gt;&lt;Year&gt;2020&lt;/Year&gt;&lt;RecNum&gt;6&lt;/RecNum&gt;&lt;DisplayText&gt;&lt;style face="superscript"&gt;5&lt;/style&gt;&lt;/DisplayText&gt;&lt;record&gt;&lt;rec-number&gt;6&lt;/rec-number&gt;&lt;foreign-keys&gt;&lt;key app="EN" db-id="x5zwxzedkassttef9s8pzrsarrf0050ss9vt" timestamp="1605612379"&gt;6&lt;/key&gt;&lt;/foreign-keys&gt;&lt;ref-type name="Journal Article"&gt;17&lt;/ref-type&gt;&lt;contributors&gt;&lt;authors&gt;&lt;author&gt;Andrew D.Z. et al.,&lt;/author&gt;&lt;/authors&gt;&lt;/contributors&gt;&lt;titles&gt;&lt;title&gt;NCCN Clinical practice guidelines in Oncology - B-Cell lymphomas&lt;/title&gt;&lt;secondary-title&gt;NCCN&lt;/secondary-title&gt;&lt;/titles&gt;&lt;periodical&gt;&lt;full-title&gt;NCCN&lt;/full-title&gt;&lt;/periodical&gt;&lt;pages&gt;12-65&lt;/pages&gt;&lt;dates&gt;&lt;year&gt;2020&lt;/year&gt;&lt;/dates&gt;&lt;urls&gt;&lt;/urls&gt;&lt;/record&gt;&lt;/Cite&gt;&lt;/EndNote&gt;</w:instrText>
        </w:r>
        <w:r w:rsidR="00355E48" w:rsidRPr="005D0EBE">
          <w:rPr>
            <w:rFonts w:ascii="Times New Roman" w:hAnsi="Times New Roman" w:cs="Times New Roman"/>
            <w:b/>
            <w:color w:val="000000" w:themeColor="text1"/>
            <w:sz w:val="24"/>
            <w:szCs w:val="24"/>
          </w:rPr>
          <w:fldChar w:fldCharType="separate"/>
        </w:r>
        <w:r w:rsidR="00355E48" w:rsidRPr="005D0EBE">
          <w:rPr>
            <w:rFonts w:ascii="Times New Roman" w:hAnsi="Times New Roman" w:cs="Times New Roman"/>
            <w:b/>
            <w:noProof/>
            <w:color w:val="000000" w:themeColor="text1"/>
            <w:sz w:val="24"/>
            <w:szCs w:val="24"/>
            <w:vertAlign w:val="superscript"/>
          </w:rPr>
          <w:t>5</w:t>
        </w:r>
        <w:r w:rsidR="00355E48" w:rsidRPr="005D0EBE">
          <w:rPr>
            <w:rFonts w:ascii="Times New Roman" w:hAnsi="Times New Roman" w:cs="Times New Roman"/>
            <w:b/>
            <w:color w:val="000000" w:themeColor="text1"/>
            <w:sz w:val="24"/>
            <w:szCs w:val="24"/>
          </w:rPr>
          <w:fldChar w:fldCharType="end"/>
        </w:r>
      </w:hyperlink>
    </w:p>
    <w:tbl>
      <w:tblPr>
        <w:tblStyle w:val="TableGrid"/>
        <w:tblW w:w="9507" w:type="dxa"/>
        <w:tblLayout w:type="fixed"/>
        <w:tblLook w:val="04A0" w:firstRow="1" w:lastRow="0" w:firstColumn="1" w:lastColumn="0" w:noHBand="0" w:noVBand="1"/>
      </w:tblPr>
      <w:tblGrid>
        <w:gridCol w:w="2515"/>
        <w:gridCol w:w="3060"/>
        <w:gridCol w:w="2340"/>
        <w:gridCol w:w="1592"/>
      </w:tblGrid>
      <w:tr w:rsidR="003607C6" w:rsidRPr="005D0EBE" w14:paraId="49D9A985" w14:textId="77777777" w:rsidTr="005A34CE">
        <w:tc>
          <w:tcPr>
            <w:tcW w:w="2515" w:type="dxa"/>
            <w:hideMark/>
          </w:tcPr>
          <w:p w14:paraId="59296804" w14:textId="77777777" w:rsidR="005A34CE" w:rsidRPr="005D0EBE" w:rsidRDefault="005A34CE" w:rsidP="00C47424">
            <w:pPr>
              <w:overflowPunct/>
              <w:autoSpaceDE/>
              <w:autoSpaceDN/>
              <w:adjustRightInd/>
              <w:spacing w:after="130"/>
              <w:textAlignment w:val="auto"/>
              <w:rPr>
                <w:b/>
                <w:bCs/>
                <w:color w:val="000000" w:themeColor="text1"/>
                <w:sz w:val="24"/>
                <w:szCs w:val="24"/>
              </w:rPr>
            </w:pPr>
            <w:r w:rsidRPr="005D0EBE">
              <w:rPr>
                <w:b/>
                <w:bCs/>
                <w:color w:val="000000" w:themeColor="text1"/>
                <w:sz w:val="24"/>
                <w:szCs w:val="24"/>
              </w:rPr>
              <w:t>Thuốc</w:t>
            </w:r>
          </w:p>
        </w:tc>
        <w:tc>
          <w:tcPr>
            <w:tcW w:w="3060" w:type="dxa"/>
            <w:hideMark/>
          </w:tcPr>
          <w:p w14:paraId="248857EB" w14:textId="77777777" w:rsidR="005A34CE" w:rsidRPr="005D0EBE" w:rsidRDefault="005A34CE" w:rsidP="00C47424">
            <w:pPr>
              <w:overflowPunct/>
              <w:autoSpaceDE/>
              <w:autoSpaceDN/>
              <w:adjustRightInd/>
              <w:spacing w:after="130"/>
              <w:textAlignment w:val="auto"/>
              <w:rPr>
                <w:b/>
                <w:bCs/>
                <w:color w:val="000000" w:themeColor="text1"/>
                <w:sz w:val="24"/>
                <w:szCs w:val="24"/>
              </w:rPr>
            </w:pPr>
            <w:r w:rsidRPr="005D0EBE">
              <w:rPr>
                <w:b/>
                <w:bCs/>
                <w:color w:val="000000" w:themeColor="text1"/>
                <w:sz w:val="24"/>
                <w:szCs w:val="24"/>
              </w:rPr>
              <w:t>Liều lượng</w:t>
            </w:r>
          </w:p>
        </w:tc>
        <w:tc>
          <w:tcPr>
            <w:tcW w:w="2340" w:type="dxa"/>
            <w:hideMark/>
          </w:tcPr>
          <w:p w14:paraId="1DA18C85" w14:textId="77777777" w:rsidR="005A34CE" w:rsidRPr="005D0EBE" w:rsidRDefault="005A34CE" w:rsidP="00C47424">
            <w:pPr>
              <w:overflowPunct/>
              <w:autoSpaceDE/>
              <w:autoSpaceDN/>
              <w:adjustRightInd/>
              <w:spacing w:after="130"/>
              <w:textAlignment w:val="auto"/>
              <w:rPr>
                <w:b/>
                <w:bCs/>
                <w:color w:val="000000" w:themeColor="text1"/>
                <w:sz w:val="24"/>
                <w:szCs w:val="24"/>
              </w:rPr>
            </w:pPr>
            <w:r w:rsidRPr="005D0EBE">
              <w:rPr>
                <w:b/>
                <w:bCs/>
                <w:color w:val="000000" w:themeColor="text1"/>
                <w:sz w:val="24"/>
                <w:szCs w:val="24"/>
              </w:rPr>
              <w:t>Đường dùng</w:t>
            </w:r>
          </w:p>
        </w:tc>
        <w:tc>
          <w:tcPr>
            <w:tcW w:w="1592" w:type="dxa"/>
            <w:hideMark/>
          </w:tcPr>
          <w:p w14:paraId="59987BFE" w14:textId="77777777" w:rsidR="005A34CE" w:rsidRPr="005D0EBE" w:rsidRDefault="005A34CE" w:rsidP="00C47424">
            <w:pPr>
              <w:overflowPunct/>
              <w:autoSpaceDE/>
              <w:autoSpaceDN/>
              <w:adjustRightInd/>
              <w:spacing w:after="130"/>
              <w:textAlignment w:val="auto"/>
              <w:rPr>
                <w:b/>
                <w:bCs/>
                <w:color w:val="000000" w:themeColor="text1"/>
                <w:sz w:val="24"/>
                <w:szCs w:val="24"/>
              </w:rPr>
            </w:pPr>
            <w:r w:rsidRPr="005D0EBE">
              <w:rPr>
                <w:b/>
                <w:bCs/>
                <w:color w:val="000000" w:themeColor="text1"/>
                <w:sz w:val="24"/>
                <w:szCs w:val="24"/>
              </w:rPr>
              <w:t>Ngày dùng</w:t>
            </w:r>
          </w:p>
        </w:tc>
      </w:tr>
      <w:tr w:rsidR="003607C6" w:rsidRPr="005D0EBE" w14:paraId="66713D5C" w14:textId="77777777" w:rsidTr="005A34CE">
        <w:tc>
          <w:tcPr>
            <w:tcW w:w="2515" w:type="dxa"/>
            <w:hideMark/>
          </w:tcPr>
          <w:p w14:paraId="3E4942E3"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Rituximab</w:t>
            </w:r>
          </w:p>
        </w:tc>
        <w:tc>
          <w:tcPr>
            <w:tcW w:w="3060" w:type="dxa"/>
            <w:hideMark/>
          </w:tcPr>
          <w:p w14:paraId="1B97C3B3"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375 mg/m</w:t>
            </w:r>
            <w:r w:rsidRPr="005D0EBE">
              <w:rPr>
                <w:color w:val="000000" w:themeColor="text1"/>
                <w:sz w:val="24"/>
                <w:szCs w:val="24"/>
                <w:vertAlign w:val="superscript"/>
              </w:rPr>
              <w:t>2</w:t>
            </w:r>
          </w:p>
        </w:tc>
        <w:tc>
          <w:tcPr>
            <w:tcW w:w="2340" w:type="dxa"/>
            <w:hideMark/>
          </w:tcPr>
          <w:p w14:paraId="283B7D93"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Truyền tĩnh mạch</w:t>
            </w:r>
          </w:p>
        </w:tc>
        <w:tc>
          <w:tcPr>
            <w:tcW w:w="1592" w:type="dxa"/>
            <w:hideMark/>
          </w:tcPr>
          <w:p w14:paraId="0D4D3830"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1 + 15</w:t>
            </w:r>
          </w:p>
        </w:tc>
      </w:tr>
      <w:tr w:rsidR="003607C6" w:rsidRPr="005D0EBE" w14:paraId="606482D1" w14:textId="77777777" w:rsidTr="005A34CE">
        <w:tc>
          <w:tcPr>
            <w:tcW w:w="2515" w:type="dxa"/>
          </w:tcPr>
          <w:p w14:paraId="214BEDE8"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Gemcitabine</w:t>
            </w:r>
          </w:p>
        </w:tc>
        <w:tc>
          <w:tcPr>
            <w:tcW w:w="3060" w:type="dxa"/>
          </w:tcPr>
          <w:p w14:paraId="78F29DF1"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1000 mg/ m</w:t>
            </w:r>
            <w:r w:rsidRPr="005D0EBE">
              <w:rPr>
                <w:color w:val="000000" w:themeColor="text1"/>
                <w:sz w:val="24"/>
                <w:szCs w:val="24"/>
                <w:vertAlign w:val="superscript"/>
              </w:rPr>
              <w:t>2</w:t>
            </w:r>
          </w:p>
        </w:tc>
        <w:tc>
          <w:tcPr>
            <w:tcW w:w="2340" w:type="dxa"/>
          </w:tcPr>
          <w:p w14:paraId="0EA21D64"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Truyền tĩnh mạch</w:t>
            </w:r>
          </w:p>
        </w:tc>
        <w:tc>
          <w:tcPr>
            <w:tcW w:w="1592" w:type="dxa"/>
          </w:tcPr>
          <w:p w14:paraId="7C4E3C19"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1 + 15</w:t>
            </w:r>
          </w:p>
        </w:tc>
      </w:tr>
      <w:tr w:rsidR="003607C6" w:rsidRPr="005D0EBE" w14:paraId="3D7989C5" w14:textId="77777777" w:rsidTr="005A34CE">
        <w:tc>
          <w:tcPr>
            <w:tcW w:w="2515" w:type="dxa"/>
          </w:tcPr>
          <w:p w14:paraId="0AFB6FF5"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Oxaliplatin</w:t>
            </w:r>
          </w:p>
        </w:tc>
        <w:tc>
          <w:tcPr>
            <w:tcW w:w="3060" w:type="dxa"/>
          </w:tcPr>
          <w:p w14:paraId="6B02D049"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100 mg/ m</w:t>
            </w:r>
            <w:r w:rsidRPr="005D0EBE">
              <w:rPr>
                <w:color w:val="000000" w:themeColor="text1"/>
                <w:sz w:val="24"/>
                <w:szCs w:val="24"/>
                <w:vertAlign w:val="superscript"/>
              </w:rPr>
              <w:t>2</w:t>
            </w:r>
          </w:p>
        </w:tc>
        <w:tc>
          <w:tcPr>
            <w:tcW w:w="2340" w:type="dxa"/>
          </w:tcPr>
          <w:p w14:paraId="65FD68E5"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Truyền tĩnh mạch</w:t>
            </w:r>
          </w:p>
        </w:tc>
        <w:tc>
          <w:tcPr>
            <w:tcW w:w="1592" w:type="dxa"/>
          </w:tcPr>
          <w:p w14:paraId="45ADF414"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1 + 15</w:t>
            </w:r>
          </w:p>
        </w:tc>
      </w:tr>
      <w:tr w:rsidR="003607C6" w:rsidRPr="005D0EBE" w14:paraId="76359D98" w14:textId="77777777" w:rsidTr="005A34CE">
        <w:tc>
          <w:tcPr>
            <w:tcW w:w="9507" w:type="dxa"/>
            <w:gridSpan w:val="4"/>
          </w:tcPr>
          <w:p w14:paraId="7AA7109F" w14:textId="77777777" w:rsidR="005A34CE" w:rsidRPr="005D0EBE" w:rsidRDefault="005A34CE" w:rsidP="00C47424">
            <w:pPr>
              <w:overflowPunct/>
              <w:autoSpaceDE/>
              <w:autoSpaceDN/>
              <w:adjustRightInd/>
              <w:spacing w:after="130"/>
              <w:textAlignment w:val="auto"/>
              <w:rPr>
                <w:color w:val="000000" w:themeColor="text1"/>
                <w:sz w:val="24"/>
                <w:szCs w:val="24"/>
              </w:rPr>
            </w:pPr>
            <w:r w:rsidRPr="005D0EBE">
              <w:rPr>
                <w:color w:val="000000" w:themeColor="text1"/>
                <w:sz w:val="24"/>
                <w:szCs w:val="24"/>
              </w:rPr>
              <w:t>Chu kì 28 ngày</w:t>
            </w:r>
          </w:p>
        </w:tc>
      </w:tr>
    </w:tbl>
    <w:p w14:paraId="01EBB78D" w14:textId="4E5BA718" w:rsidR="006D0D89" w:rsidRPr="005D0EBE" w:rsidRDefault="005046DB" w:rsidP="005F0D9E">
      <w:pPr>
        <w:spacing w:after="0"/>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2.3.</w:t>
      </w:r>
      <w:r w:rsidR="0011465C" w:rsidRPr="005D0EBE">
        <w:rPr>
          <w:rFonts w:ascii="Times New Roman" w:hAnsi="Times New Roman" w:cs="Times New Roman"/>
          <w:b/>
          <w:color w:val="000000" w:themeColor="text1"/>
          <w:sz w:val="24"/>
          <w:szCs w:val="24"/>
        </w:rPr>
        <w:t xml:space="preserve"> </w:t>
      </w:r>
      <w:r w:rsidR="00A87709" w:rsidRPr="005D0EBE">
        <w:rPr>
          <w:rFonts w:ascii="Times New Roman" w:hAnsi="Times New Roman" w:cs="Times New Roman"/>
          <w:b/>
          <w:color w:val="000000" w:themeColor="text1"/>
          <w:sz w:val="24"/>
          <w:szCs w:val="24"/>
        </w:rPr>
        <w:t>X</w:t>
      </w:r>
      <w:r w:rsidR="0011465C" w:rsidRPr="005D0EBE">
        <w:rPr>
          <w:rFonts w:ascii="Times New Roman" w:hAnsi="Times New Roman" w:cs="Times New Roman"/>
          <w:b/>
          <w:color w:val="000000" w:themeColor="text1"/>
          <w:sz w:val="24"/>
          <w:szCs w:val="24"/>
        </w:rPr>
        <w:t>ử lý số liệ</w:t>
      </w:r>
      <w:r w:rsidR="00FD4E8E" w:rsidRPr="005D0EBE">
        <w:rPr>
          <w:rFonts w:ascii="Times New Roman" w:hAnsi="Times New Roman" w:cs="Times New Roman"/>
          <w:b/>
          <w:color w:val="000000" w:themeColor="text1"/>
          <w:sz w:val="24"/>
          <w:szCs w:val="24"/>
        </w:rPr>
        <w:t>u</w:t>
      </w:r>
      <w:r w:rsidR="00A87709" w:rsidRPr="005D0EBE">
        <w:rPr>
          <w:rFonts w:ascii="Times New Roman" w:hAnsi="Times New Roman" w:cs="Times New Roman"/>
          <w:b/>
          <w:color w:val="000000" w:themeColor="text1"/>
          <w:sz w:val="24"/>
          <w:szCs w:val="24"/>
        </w:rPr>
        <w:t xml:space="preserve"> và đạo đức nghiên cứu </w:t>
      </w:r>
    </w:p>
    <w:p w14:paraId="4AED3BEB" w14:textId="11EFBD1A" w:rsidR="00FD4E8E" w:rsidRPr="005D0EBE" w:rsidRDefault="0011465C" w:rsidP="005F0D9E">
      <w:pPr>
        <w:spacing w:after="0"/>
        <w:rPr>
          <w:rFonts w:ascii="Times New Roman" w:hAnsi="Times New Roman" w:cs="Times New Roman"/>
          <w:color w:val="000000" w:themeColor="text1"/>
          <w:sz w:val="24"/>
          <w:szCs w:val="24"/>
          <w:lang w:val="pt-BR"/>
        </w:rPr>
      </w:pPr>
      <w:r w:rsidRPr="005D0EBE">
        <w:rPr>
          <w:rFonts w:ascii="Times New Roman" w:hAnsi="Times New Roman" w:cs="Times New Roman"/>
          <w:color w:val="000000" w:themeColor="text1"/>
          <w:sz w:val="24"/>
          <w:szCs w:val="24"/>
          <w:lang w:val="pt-BR"/>
        </w:rPr>
        <w:t xml:space="preserve">Các thông tin được mã hoá và xử lý bằng phần mềm SPSS </w:t>
      </w:r>
      <w:r w:rsidR="005C755C" w:rsidRPr="005D0EBE">
        <w:rPr>
          <w:rFonts w:ascii="Times New Roman" w:hAnsi="Times New Roman" w:cs="Times New Roman"/>
          <w:color w:val="000000" w:themeColor="text1"/>
          <w:sz w:val="24"/>
          <w:szCs w:val="24"/>
          <w:lang w:val="pt-BR"/>
        </w:rPr>
        <w:t>23.</w:t>
      </w:r>
      <w:r w:rsidRPr="005D0EBE">
        <w:rPr>
          <w:rFonts w:ascii="Times New Roman" w:hAnsi="Times New Roman" w:cs="Times New Roman"/>
          <w:color w:val="000000" w:themeColor="text1"/>
          <w:sz w:val="24"/>
          <w:szCs w:val="24"/>
          <w:lang w:val="pt-BR"/>
        </w:rPr>
        <w:t>0</w:t>
      </w:r>
    </w:p>
    <w:p w14:paraId="29C48E92" w14:textId="7002824D" w:rsidR="00A87709" w:rsidRPr="005D0EBE" w:rsidRDefault="00A87709" w:rsidP="005F0D9E">
      <w:pPr>
        <w:spacing w:after="0"/>
        <w:rPr>
          <w:rFonts w:ascii="Times New Roman" w:hAnsi="Times New Roman" w:cs="Times New Roman"/>
          <w:color w:val="000000" w:themeColor="text1"/>
          <w:sz w:val="24"/>
          <w:szCs w:val="24"/>
          <w:lang w:val="pt-BR"/>
        </w:rPr>
      </w:pPr>
      <w:r w:rsidRPr="005D0EBE">
        <w:rPr>
          <w:rFonts w:ascii="Times New Roman" w:hAnsi="Times New Roman" w:cs="Times New Roman"/>
          <w:color w:val="000000" w:themeColor="text1"/>
          <w:sz w:val="24"/>
          <w:szCs w:val="24"/>
          <w:lang w:val="pt-BR"/>
        </w:rPr>
        <w:t xml:space="preserve">Nghiên cứu được thông qua </w:t>
      </w:r>
      <w:r w:rsidR="002E11B4" w:rsidRPr="005D0EBE">
        <w:rPr>
          <w:rFonts w:ascii="Times New Roman" w:hAnsi="Times New Roman" w:cs="Times New Roman"/>
          <w:color w:val="000000" w:themeColor="text1"/>
          <w:sz w:val="24"/>
          <w:szCs w:val="24"/>
          <w:lang w:val="pt-BR"/>
        </w:rPr>
        <w:t>Hội đồng đạo đức Trường Đại học Y Thái Nguyên và được Hội đồng y đức Bệnh viện K duyệt và chấp thuận</w:t>
      </w:r>
      <w:r w:rsidRPr="005D0EBE">
        <w:rPr>
          <w:rFonts w:ascii="Times New Roman" w:hAnsi="Times New Roman" w:cs="Times New Roman"/>
          <w:color w:val="000000" w:themeColor="text1"/>
          <w:sz w:val="24"/>
          <w:szCs w:val="24"/>
          <w:lang w:val="pt-BR"/>
        </w:rPr>
        <w:t>.</w:t>
      </w:r>
    </w:p>
    <w:p w14:paraId="1AEF2B4A" w14:textId="4B833D29" w:rsidR="00C84431" w:rsidRPr="005D0EBE" w:rsidRDefault="00AC4A1B" w:rsidP="005C755C">
      <w:pPr>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br w:type="page"/>
      </w:r>
      <w:r w:rsidR="005046DB" w:rsidRPr="005D0EBE">
        <w:rPr>
          <w:rFonts w:ascii="Times New Roman" w:hAnsi="Times New Roman" w:cs="Times New Roman"/>
          <w:b/>
          <w:color w:val="000000" w:themeColor="text1"/>
          <w:sz w:val="24"/>
          <w:szCs w:val="24"/>
        </w:rPr>
        <w:lastRenderedPageBreak/>
        <w:t>3. Kết quả</w:t>
      </w:r>
    </w:p>
    <w:p w14:paraId="645C64DC" w14:textId="77777777" w:rsidR="005A34CE" w:rsidRPr="005D0EBE" w:rsidRDefault="005A34CE" w:rsidP="00351E93">
      <w:pPr>
        <w:spacing w:after="0"/>
        <w:jc w:val="center"/>
        <w:rPr>
          <w:rFonts w:ascii="Times New Roman" w:hAnsi="Times New Roman" w:cs="Times New Roman"/>
          <w:b/>
          <w:color w:val="000000" w:themeColor="text1"/>
          <w:sz w:val="24"/>
          <w:szCs w:val="24"/>
        </w:rPr>
      </w:pPr>
      <w:bookmarkStart w:id="2" w:name="_Hlk120892845"/>
      <w:r w:rsidRPr="005D0EBE">
        <w:rPr>
          <w:rFonts w:ascii="Times New Roman" w:hAnsi="Times New Roman" w:cs="Times New Roman"/>
          <w:b/>
          <w:color w:val="000000" w:themeColor="text1"/>
          <w:sz w:val="24"/>
          <w:szCs w:val="24"/>
        </w:rPr>
        <w:t>Bảng 3.1. Đặc điểm chung của đối tượng nghiên cứu</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2316"/>
        <w:gridCol w:w="1926"/>
        <w:gridCol w:w="2268"/>
      </w:tblGrid>
      <w:tr w:rsidR="003067A9" w:rsidRPr="005D0EBE" w14:paraId="2F331644" w14:textId="77777777" w:rsidTr="00947DE3">
        <w:trPr>
          <w:jc w:val="center"/>
        </w:trPr>
        <w:tc>
          <w:tcPr>
            <w:tcW w:w="4023" w:type="dxa"/>
            <w:gridSpan w:val="2"/>
          </w:tcPr>
          <w:p w14:paraId="211E220B" w14:textId="77777777" w:rsidR="003067A9" w:rsidRPr="005D0EBE" w:rsidRDefault="003067A9" w:rsidP="00947DE3">
            <w:pPr>
              <w:spacing w:after="0"/>
              <w:jc w:val="center"/>
              <w:rPr>
                <w:rFonts w:ascii="Times New Roman" w:hAnsi="Times New Roman" w:cs="Times New Roman"/>
                <w:b/>
                <w:sz w:val="24"/>
                <w:szCs w:val="24"/>
              </w:rPr>
            </w:pPr>
            <w:r w:rsidRPr="005D0EBE">
              <w:rPr>
                <w:rFonts w:ascii="Times New Roman" w:hAnsi="Times New Roman" w:cs="Times New Roman"/>
                <w:b/>
                <w:sz w:val="24"/>
                <w:szCs w:val="24"/>
              </w:rPr>
              <w:t>Đặc điểm</w:t>
            </w:r>
          </w:p>
        </w:tc>
        <w:tc>
          <w:tcPr>
            <w:tcW w:w="1926" w:type="dxa"/>
          </w:tcPr>
          <w:p w14:paraId="1C0CCD40" w14:textId="77777777" w:rsidR="003067A9" w:rsidRPr="005D0EBE" w:rsidRDefault="003067A9" w:rsidP="00947DE3">
            <w:pPr>
              <w:spacing w:after="0"/>
              <w:jc w:val="center"/>
              <w:rPr>
                <w:rFonts w:ascii="Times New Roman" w:hAnsi="Times New Roman" w:cs="Times New Roman"/>
                <w:b/>
                <w:sz w:val="24"/>
                <w:szCs w:val="24"/>
              </w:rPr>
            </w:pPr>
            <w:r w:rsidRPr="005D0EBE">
              <w:rPr>
                <w:rFonts w:ascii="Times New Roman" w:hAnsi="Times New Roman" w:cs="Times New Roman"/>
                <w:b/>
                <w:sz w:val="24"/>
                <w:szCs w:val="24"/>
              </w:rPr>
              <w:t>Số BN</w:t>
            </w:r>
          </w:p>
        </w:tc>
        <w:tc>
          <w:tcPr>
            <w:tcW w:w="2268" w:type="dxa"/>
          </w:tcPr>
          <w:p w14:paraId="322ACE24" w14:textId="77777777" w:rsidR="003067A9" w:rsidRPr="005D0EBE" w:rsidRDefault="003067A9" w:rsidP="00947DE3">
            <w:pPr>
              <w:spacing w:after="0"/>
              <w:jc w:val="center"/>
              <w:rPr>
                <w:rFonts w:ascii="Times New Roman" w:hAnsi="Times New Roman" w:cs="Times New Roman"/>
                <w:b/>
                <w:sz w:val="24"/>
                <w:szCs w:val="24"/>
              </w:rPr>
            </w:pPr>
            <w:r w:rsidRPr="005D0EBE">
              <w:rPr>
                <w:rFonts w:ascii="Times New Roman" w:hAnsi="Times New Roman" w:cs="Times New Roman"/>
                <w:b/>
                <w:sz w:val="24"/>
                <w:szCs w:val="24"/>
              </w:rPr>
              <w:t>Tỉ lệ %</w:t>
            </w:r>
          </w:p>
        </w:tc>
      </w:tr>
      <w:tr w:rsidR="003067A9" w:rsidRPr="005D0EBE" w14:paraId="0CED9AE2" w14:textId="77777777" w:rsidTr="00947DE3">
        <w:trPr>
          <w:jc w:val="center"/>
        </w:trPr>
        <w:tc>
          <w:tcPr>
            <w:tcW w:w="1707" w:type="dxa"/>
            <w:vMerge w:val="restart"/>
          </w:tcPr>
          <w:p w14:paraId="55EA0AB7"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00000"/>
                <w:sz w:val="24"/>
                <w:szCs w:val="24"/>
              </w:rPr>
              <w:t>Tuổi</w:t>
            </w:r>
          </w:p>
        </w:tc>
        <w:tc>
          <w:tcPr>
            <w:tcW w:w="2316" w:type="dxa"/>
          </w:tcPr>
          <w:p w14:paraId="0EA9EA6C" w14:textId="77777777" w:rsidR="003067A9" w:rsidRPr="005D0EBE" w:rsidRDefault="00546CF2" w:rsidP="00947DE3">
            <w:pPr>
              <w:pBdr>
                <w:top w:val="nil"/>
                <w:left w:val="nil"/>
                <w:bottom w:val="nil"/>
                <w:right w:val="nil"/>
                <w:between w:val="nil"/>
              </w:pBdr>
              <w:spacing w:after="0"/>
              <w:jc w:val="center"/>
              <w:rPr>
                <w:rFonts w:ascii="Times New Roman" w:hAnsi="Times New Roman" w:cs="Times New Roman"/>
                <w:color w:val="000000"/>
                <w:sz w:val="24"/>
                <w:szCs w:val="24"/>
              </w:rPr>
            </w:pPr>
            <w:sdt>
              <w:sdtPr>
                <w:rPr>
                  <w:rFonts w:ascii="Times New Roman" w:hAnsi="Times New Roman" w:cs="Times New Roman"/>
                  <w:sz w:val="24"/>
                  <w:szCs w:val="24"/>
                </w:rPr>
                <w:tag w:val="goog_rdk_1"/>
                <w:id w:val="-2073726938"/>
              </w:sdtPr>
              <w:sdtEndPr/>
              <w:sdtContent>
                <w:r w:rsidR="003067A9" w:rsidRPr="005D0EBE">
                  <w:rPr>
                    <w:rFonts w:ascii="Times New Roman" w:eastAsia="Gungsuh" w:hAnsi="Times New Roman" w:cs="Times New Roman"/>
                    <w:color w:val="000000"/>
                    <w:sz w:val="24"/>
                    <w:szCs w:val="24"/>
                  </w:rPr>
                  <w:t>≤ 40</w:t>
                </w:r>
              </w:sdtContent>
            </w:sdt>
          </w:p>
        </w:tc>
        <w:tc>
          <w:tcPr>
            <w:tcW w:w="1926" w:type="dxa"/>
          </w:tcPr>
          <w:p w14:paraId="2792DFD7"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8</w:t>
            </w:r>
          </w:p>
        </w:tc>
        <w:tc>
          <w:tcPr>
            <w:tcW w:w="2268" w:type="dxa"/>
          </w:tcPr>
          <w:p w14:paraId="48A21432"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9,6</w:t>
            </w:r>
          </w:p>
        </w:tc>
      </w:tr>
      <w:tr w:rsidR="003067A9" w:rsidRPr="005D0EBE" w14:paraId="5F963255" w14:textId="77777777" w:rsidTr="00947DE3">
        <w:trPr>
          <w:jc w:val="center"/>
        </w:trPr>
        <w:tc>
          <w:tcPr>
            <w:tcW w:w="1707" w:type="dxa"/>
            <w:vMerge/>
          </w:tcPr>
          <w:p w14:paraId="125B85FA" w14:textId="77777777" w:rsidR="003067A9" w:rsidRPr="005D0EBE" w:rsidRDefault="003067A9" w:rsidP="00947DE3">
            <w:pPr>
              <w:widowControl w:val="0"/>
              <w:pBdr>
                <w:top w:val="nil"/>
                <w:left w:val="nil"/>
                <w:bottom w:val="nil"/>
                <w:right w:val="nil"/>
                <w:between w:val="nil"/>
              </w:pBdr>
              <w:spacing w:after="0"/>
              <w:rPr>
                <w:rFonts w:ascii="Times New Roman" w:hAnsi="Times New Roman" w:cs="Times New Roman"/>
                <w:color w:val="000000"/>
                <w:sz w:val="24"/>
                <w:szCs w:val="24"/>
              </w:rPr>
            </w:pPr>
          </w:p>
        </w:tc>
        <w:tc>
          <w:tcPr>
            <w:tcW w:w="2316" w:type="dxa"/>
          </w:tcPr>
          <w:p w14:paraId="5C2F924C"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00000"/>
                <w:sz w:val="24"/>
                <w:szCs w:val="24"/>
              </w:rPr>
              <w:t>41 - 60</w:t>
            </w:r>
          </w:p>
        </w:tc>
        <w:tc>
          <w:tcPr>
            <w:tcW w:w="1926" w:type="dxa"/>
          </w:tcPr>
          <w:p w14:paraId="280C5C94"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29</w:t>
            </w:r>
          </w:p>
        </w:tc>
        <w:tc>
          <w:tcPr>
            <w:tcW w:w="2268" w:type="dxa"/>
          </w:tcPr>
          <w:p w14:paraId="7D4873FA"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34,9</w:t>
            </w:r>
          </w:p>
        </w:tc>
      </w:tr>
      <w:tr w:rsidR="003067A9" w:rsidRPr="005D0EBE" w14:paraId="4763E8E9" w14:textId="77777777" w:rsidTr="00947DE3">
        <w:trPr>
          <w:jc w:val="center"/>
        </w:trPr>
        <w:tc>
          <w:tcPr>
            <w:tcW w:w="1707" w:type="dxa"/>
            <w:vMerge/>
          </w:tcPr>
          <w:p w14:paraId="2015D21B" w14:textId="77777777" w:rsidR="003067A9" w:rsidRPr="005D0EBE" w:rsidRDefault="003067A9" w:rsidP="00947DE3">
            <w:pPr>
              <w:widowControl w:val="0"/>
              <w:pBdr>
                <w:top w:val="nil"/>
                <w:left w:val="nil"/>
                <w:bottom w:val="nil"/>
                <w:right w:val="nil"/>
                <w:between w:val="nil"/>
              </w:pBdr>
              <w:spacing w:after="0"/>
              <w:rPr>
                <w:rFonts w:ascii="Times New Roman" w:hAnsi="Times New Roman" w:cs="Times New Roman"/>
                <w:color w:val="000000"/>
                <w:sz w:val="24"/>
                <w:szCs w:val="24"/>
              </w:rPr>
            </w:pPr>
          </w:p>
        </w:tc>
        <w:tc>
          <w:tcPr>
            <w:tcW w:w="2316" w:type="dxa"/>
          </w:tcPr>
          <w:p w14:paraId="002A0684"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00000"/>
                <w:sz w:val="24"/>
                <w:szCs w:val="24"/>
              </w:rPr>
              <w:t>61 - 75</w:t>
            </w:r>
          </w:p>
        </w:tc>
        <w:tc>
          <w:tcPr>
            <w:tcW w:w="1926" w:type="dxa"/>
          </w:tcPr>
          <w:p w14:paraId="6748ABF9"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42</w:t>
            </w:r>
          </w:p>
        </w:tc>
        <w:tc>
          <w:tcPr>
            <w:tcW w:w="2268" w:type="dxa"/>
          </w:tcPr>
          <w:p w14:paraId="69FA6E3C"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50,6</w:t>
            </w:r>
          </w:p>
        </w:tc>
      </w:tr>
      <w:tr w:rsidR="003067A9" w:rsidRPr="005D0EBE" w14:paraId="58F62ADA" w14:textId="77777777" w:rsidTr="00947DE3">
        <w:trPr>
          <w:jc w:val="center"/>
        </w:trPr>
        <w:tc>
          <w:tcPr>
            <w:tcW w:w="1707" w:type="dxa"/>
            <w:vMerge/>
          </w:tcPr>
          <w:p w14:paraId="5EEB08CF" w14:textId="77777777" w:rsidR="003067A9" w:rsidRPr="005D0EBE" w:rsidRDefault="003067A9" w:rsidP="00947DE3">
            <w:pPr>
              <w:widowControl w:val="0"/>
              <w:pBdr>
                <w:top w:val="nil"/>
                <w:left w:val="nil"/>
                <w:bottom w:val="nil"/>
                <w:right w:val="nil"/>
                <w:between w:val="nil"/>
              </w:pBdr>
              <w:spacing w:after="0"/>
              <w:rPr>
                <w:rFonts w:ascii="Times New Roman" w:hAnsi="Times New Roman" w:cs="Times New Roman"/>
                <w:color w:val="000000"/>
                <w:sz w:val="24"/>
                <w:szCs w:val="24"/>
              </w:rPr>
            </w:pPr>
          </w:p>
        </w:tc>
        <w:tc>
          <w:tcPr>
            <w:tcW w:w="2316" w:type="dxa"/>
          </w:tcPr>
          <w:p w14:paraId="79BDE90D"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00000"/>
                <w:sz w:val="24"/>
                <w:szCs w:val="24"/>
              </w:rPr>
              <w:t>&gt;75</w:t>
            </w:r>
          </w:p>
        </w:tc>
        <w:tc>
          <w:tcPr>
            <w:tcW w:w="1926" w:type="dxa"/>
          </w:tcPr>
          <w:p w14:paraId="05A2A198"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4</w:t>
            </w:r>
          </w:p>
        </w:tc>
        <w:tc>
          <w:tcPr>
            <w:tcW w:w="2268" w:type="dxa"/>
          </w:tcPr>
          <w:p w14:paraId="4B1E0016"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4,8</w:t>
            </w:r>
          </w:p>
        </w:tc>
      </w:tr>
      <w:tr w:rsidR="003067A9" w:rsidRPr="005D0EBE" w14:paraId="74B11464" w14:textId="77777777" w:rsidTr="00947DE3">
        <w:trPr>
          <w:jc w:val="center"/>
        </w:trPr>
        <w:tc>
          <w:tcPr>
            <w:tcW w:w="1707" w:type="dxa"/>
            <w:vMerge w:val="restart"/>
          </w:tcPr>
          <w:p w14:paraId="76D6C562"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00000"/>
                <w:sz w:val="24"/>
                <w:szCs w:val="24"/>
              </w:rPr>
              <w:t>Giới</w:t>
            </w:r>
          </w:p>
          <w:p w14:paraId="285F38CA"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p>
        </w:tc>
        <w:tc>
          <w:tcPr>
            <w:tcW w:w="2316" w:type="dxa"/>
          </w:tcPr>
          <w:p w14:paraId="68125E58"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00000"/>
                <w:sz w:val="24"/>
                <w:szCs w:val="24"/>
              </w:rPr>
              <w:t>Nam</w:t>
            </w:r>
          </w:p>
        </w:tc>
        <w:tc>
          <w:tcPr>
            <w:tcW w:w="1926" w:type="dxa"/>
          </w:tcPr>
          <w:p w14:paraId="23BA4251"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41</w:t>
            </w:r>
          </w:p>
        </w:tc>
        <w:tc>
          <w:tcPr>
            <w:tcW w:w="2268" w:type="dxa"/>
          </w:tcPr>
          <w:p w14:paraId="3B8EE9EE"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49,4</w:t>
            </w:r>
          </w:p>
        </w:tc>
      </w:tr>
      <w:tr w:rsidR="003067A9" w:rsidRPr="005D0EBE" w14:paraId="3AE32299" w14:textId="77777777" w:rsidTr="00947DE3">
        <w:trPr>
          <w:jc w:val="center"/>
        </w:trPr>
        <w:tc>
          <w:tcPr>
            <w:tcW w:w="1707" w:type="dxa"/>
            <w:vMerge/>
          </w:tcPr>
          <w:p w14:paraId="486844BA" w14:textId="77777777" w:rsidR="003067A9" w:rsidRPr="005D0EBE" w:rsidRDefault="003067A9" w:rsidP="00947DE3">
            <w:pPr>
              <w:widowControl w:val="0"/>
              <w:pBdr>
                <w:top w:val="nil"/>
                <w:left w:val="nil"/>
                <w:bottom w:val="nil"/>
                <w:right w:val="nil"/>
                <w:between w:val="nil"/>
              </w:pBdr>
              <w:spacing w:after="0"/>
              <w:rPr>
                <w:rFonts w:ascii="Times New Roman" w:hAnsi="Times New Roman" w:cs="Times New Roman"/>
                <w:color w:val="000000"/>
                <w:sz w:val="24"/>
                <w:szCs w:val="24"/>
              </w:rPr>
            </w:pPr>
          </w:p>
        </w:tc>
        <w:tc>
          <w:tcPr>
            <w:tcW w:w="2316" w:type="dxa"/>
          </w:tcPr>
          <w:p w14:paraId="63216BE9"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00000"/>
                <w:sz w:val="24"/>
                <w:szCs w:val="24"/>
              </w:rPr>
              <w:t>Nữ</w:t>
            </w:r>
          </w:p>
        </w:tc>
        <w:tc>
          <w:tcPr>
            <w:tcW w:w="1926" w:type="dxa"/>
          </w:tcPr>
          <w:p w14:paraId="1435A968"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42</w:t>
            </w:r>
          </w:p>
        </w:tc>
        <w:tc>
          <w:tcPr>
            <w:tcW w:w="2268" w:type="dxa"/>
          </w:tcPr>
          <w:p w14:paraId="69B0B380" w14:textId="77777777" w:rsidR="003067A9" w:rsidRPr="005D0EBE" w:rsidRDefault="003067A9" w:rsidP="00947DE3">
            <w:pPr>
              <w:pBdr>
                <w:top w:val="nil"/>
                <w:left w:val="nil"/>
                <w:bottom w:val="nil"/>
                <w:right w:val="nil"/>
                <w:between w:val="nil"/>
              </w:pBdr>
              <w:spacing w:after="0"/>
              <w:jc w:val="center"/>
              <w:rPr>
                <w:rFonts w:ascii="Times New Roman" w:hAnsi="Times New Roman" w:cs="Times New Roman"/>
                <w:color w:val="000000"/>
                <w:sz w:val="24"/>
                <w:szCs w:val="24"/>
              </w:rPr>
            </w:pPr>
            <w:r w:rsidRPr="005D0EBE">
              <w:rPr>
                <w:rFonts w:ascii="Times New Roman" w:eastAsia="Times New Roman" w:hAnsi="Times New Roman" w:cs="Times New Roman"/>
                <w:color w:val="010205"/>
                <w:sz w:val="24"/>
                <w:szCs w:val="24"/>
              </w:rPr>
              <w:t>50,6</w:t>
            </w:r>
          </w:p>
        </w:tc>
      </w:tr>
      <w:tr w:rsidR="00952C2D" w:rsidRPr="005D0EBE" w14:paraId="5113653B" w14:textId="77777777" w:rsidTr="00CC6AE5">
        <w:trPr>
          <w:jc w:val="center"/>
        </w:trPr>
        <w:tc>
          <w:tcPr>
            <w:tcW w:w="1707" w:type="dxa"/>
            <w:vAlign w:val="center"/>
          </w:tcPr>
          <w:p w14:paraId="65812824" w14:textId="307EC56D" w:rsidR="00952C2D" w:rsidRPr="005D0EBE" w:rsidRDefault="00952C2D" w:rsidP="00952C2D">
            <w:pPr>
              <w:widowControl w:val="0"/>
              <w:pBdr>
                <w:top w:val="nil"/>
                <w:left w:val="nil"/>
                <w:bottom w:val="nil"/>
                <w:right w:val="nil"/>
                <w:between w:val="nil"/>
              </w:pBdr>
              <w:spacing w:after="0"/>
              <w:rPr>
                <w:rFonts w:ascii="Times New Roman" w:hAnsi="Times New Roman" w:cs="Times New Roman"/>
                <w:color w:val="000000"/>
                <w:sz w:val="24"/>
                <w:szCs w:val="24"/>
              </w:rPr>
            </w:pPr>
            <w:r w:rsidRPr="005D0EBE">
              <w:rPr>
                <w:rFonts w:ascii="Times New Roman" w:eastAsia="Times New Roman" w:hAnsi="Times New Roman" w:cs="Times New Roman"/>
                <w:color w:val="000000"/>
                <w:sz w:val="24"/>
                <w:szCs w:val="24"/>
              </w:rPr>
              <w:t>ECOG</w:t>
            </w:r>
          </w:p>
        </w:tc>
        <w:tc>
          <w:tcPr>
            <w:tcW w:w="2316" w:type="dxa"/>
          </w:tcPr>
          <w:p w14:paraId="26EDD84D" w14:textId="0A68A6D1"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5D0EBE">
              <w:rPr>
                <w:rFonts w:ascii="Times New Roman" w:eastAsia="Times New Roman" w:hAnsi="Times New Roman" w:cs="Times New Roman"/>
                <w:color w:val="000000"/>
                <w:sz w:val="24"/>
                <w:szCs w:val="24"/>
              </w:rPr>
              <w:t>0</w:t>
            </w:r>
          </w:p>
        </w:tc>
        <w:tc>
          <w:tcPr>
            <w:tcW w:w="1926" w:type="dxa"/>
          </w:tcPr>
          <w:p w14:paraId="0D8FD90B" w14:textId="6BD44696"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color w:val="010205"/>
                <w:sz w:val="24"/>
                <w:szCs w:val="24"/>
              </w:rPr>
              <w:t>43</w:t>
            </w:r>
          </w:p>
        </w:tc>
        <w:tc>
          <w:tcPr>
            <w:tcW w:w="2268" w:type="dxa"/>
          </w:tcPr>
          <w:p w14:paraId="62863105" w14:textId="49A4DE34"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color w:val="010205"/>
                <w:sz w:val="24"/>
                <w:szCs w:val="24"/>
              </w:rPr>
              <w:t>51,8</w:t>
            </w:r>
          </w:p>
        </w:tc>
      </w:tr>
      <w:tr w:rsidR="00952C2D" w:rsidRPr="005D0EBE" w14:paraId="4BB3D0A5" w14:textId="77777777" w:rsidTr="00CC6AE5">
        <w:trPr>
          <w:jc w:val="center"/>
        </w:trPr>
        <w:tc>
          <w:tcPr>
            <w:tcW w:w="1707" w:type="dxa"/>
            <w:vAlign w:val="center"/>
          </w:tcPr>
          <w:p w14:paraId="2FF2A61B" w14:textId="77777777" w:rsidR="00952C2D" w:rsidRPr="005D0EBE" w:rsidRDefault="00952C2D" w:rsidP="00952C2D">
            <w:pPr>
              <w:widowControl w:val="0"/>
              <w:pBdr>
                <w:top w:val="nil"/>
                <w:left w:val="nil"/>
                <w:bottom w:val="nil"/>
                <w:right w:val="nil"/>
                <w:between w:val="nil"/>
              </w:pBdr>
              <w:spacing w:after="0"/>
              <w:rPr>
                <w:rFonts w:ascii="Times New Roman" w:hAnsi="Times New Roman" w:cs="Times New Roman"/>
                <w:color w:val="000000"/>
                <w:sz w:val="24"/>
                <w:szCs w:val="24"/>
              </w:rPr>
            </w:pPr>
          </w:p>
        </w:tc>
        <w:tc>
          <w:tcPr>
            <w:tcW w:w="2316" w:type="dxa"/>
          </w:tcPr>
          <w:p w14:paraId="0ADB28DD" w14:textId="54ED5884"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5D0EBE">
              <w:rPr>
                <w:rFonts w:ascii="Times New Roman" w:eastAsia="Times New Roman" w:hAnsi="Times New Roman" w:cs="Times New Roman"/>
                <w:color w:val="000000"/>
                <w:sz w:val="24"/>
                <w:szCs w:val="24"/>
              </w:rPr>
              <w:t>1</w:t>
            </w:r>
          </w:p>
        </w:tc>
        <w:tc>
          <w:tcPr>
            <w:tcW w:w="1926" w:type="dxa"/>
          </w:tcPr>
          <w:p w14:paraId="14BB4B9A" w14:textId="3069A1D0"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color w:val="010205"/>
                <w:sz w:val="24"/>
                <w:szCs w:val="24"/>
              </w:rPr>
              <w:t>38</w:t>
            </w:r>
          </w:p>
        </w:tc>
        <w:tc>
          <w:tcPr>
            <w:tcW w:w="2268" w:type="dxa"/>
          </w:tcPr>
          <w:p w14:paraId="705017F4" w14:textId="5F716494"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color w:val="010205"/>
                <w:sz w:val="24"/>
                <w:szCs w:val="24"/>
              </w:rPr>
              <w:t>45,8</w:t>
            </w:r>
          </w:p>
        </w:tc>
      </w:tr>
      <w:tr w:rsidR="00952C2D" w:rsidRPr="005D0EBE" w14:paraId="78A30609" w14:textId="77777777" w:rsidTr="00CC6AE5">
        <w:trPr>
          <w:jc w:val="center"/>
        </w:trPr>
        <w:tc>
          <w:tcPr>
            <w:tcW w:w="1707" w:type="dxa"/>
            <w:vAlign w:val="center"/>
          </w:tcPr>
          <w:p w14:paraId="15BE9B0C" w14:textId="77777777" w:rsidR="00952C2D" w:rsidRPr="005D0EBE" w:rsidRDefault="00952C2D" w:rsidP="00952C2D">
            <w:pPr>
              <w:widowControl w:val="0"/>
              <w:pBdr>
                <w:top w:val="nil"/>
                <w:left w:val="nil"/>
                <w:bottom w:val="nil"/>
                <w:right w:val="nil"/>
                <w:between w:val="nil"/>
              </w:pBdr>
              <w:spacing w:after="0"/>
              <w:rPr>
                <w:rFonts w:ascii="Times New Roman" w:hAnsi="Times New Roman" w:cs="Times New Roman"/>
                <w:color w:val="000000"/>
                <w:sz w:val="24"/>
                <w:szCs w:val="24"/>
              </w:rPr>
            </w:pPr>
          </w:p>
        </w:tc>
        <w:tc>
          <w:tcPr>
            <w:tcW w:w="2316" w:type="dxa"/>
          </w:tcPr>
          <w:p w14:paraId="4C4EE0AB" w14:textId="1C2C6E90"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5D0EBE">
              <w:rPr>
                <w:rFonts w:ascii="Times New Roman" w:eastAsia="Times New Roman" w:hAnsi="Times New Roman" w:cs="Times New Roman"/>
                <w:color w:val="000000"/>
                <w:sz w:val="24"/>
                <w:szCs w:val="24"/>
              </w:rPr>
              <w:t>2</w:t>
            </w:r>
          </w:p>
        </w:tc>
        <w:tc>
          <w:tcPr>
            <w:tcW w:w="1926" w:type="dxa"/>
          </w:tcPr>
          <w:p w14:paraId="090DDAA3" w14:textId="6F9A5A42"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color w:val="010205"/>
                <w:sz w:val="24"/>
                <w:szCs w:val="24"/>
              </w:rPr>
              <w:t>2</w:t>
            </w:r>
          </w:p>
        </w:tc>
        <w:tc>
          <w:tcPr>
            <w:tcW w:w="2268" w:type="dxa"/>
          </w:tcPr>
          <w:p w14:paraId="738962DF" w14:textId="0F858EEA"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color w:val="010205"/>
                <w:sz w:val="24"/>
                <w:szCs w:val="24"/>
              </w:rPr>
              <w:t>2,4</w:t>
            </w:r>
          </w:p>
        </w:tc>
      </w:tr>
      <w:tr w:rsidR="00952C2D" w:rsidRPr="005D0EBE" w14:paraId="295A4E50" w14:textId="77777777" w:rsidTr="00CC6AE5">
        <w:trPr>
          <w:jc w:val="center"/>
        </w:trPr>
        <w:tc>
          <w:tcPr>
            <w:tcW w:w="1707" w:type="dxa"/>
            <w:vAlign w:val="center"/>
          </w:tcPr>
          <w:p w14:paraId="7BF81EAE" w14:textId="11C86115" w:rsidR="00952C2D" w:rsidRPr="005D0EBE" w:rsidRDefault="00952C2D" w:rsidP="00952C2D">
            <w:pPr>
              <w:widowControl w:val="0"/>
              <w:pBdr>
                <w:top w:val="nil"/>
                <w:left w:val="nil"/>
                <w:bottom w:val="nil"/>
                <w:right w:val="nil"/>
                <w:between w:val="nil"/>
              </w:pBdr>
              <w:spacing w:after="0"/>
              <w:rPr>
                <w:rFonts w:ascii="Times New Roman" w:hAnsi="Times New Roman" w:cs="Times New Roman"/>
                <w:color w:val="000000"/>
                <w:sz w:val="24"/>
                <w:szCs w:val="24"/>
              </w:rPr>
            </w:pPr>
            <w:r w:rsidRPr="005D0EBE">
              <w:rPr>
                <w:rFonts w:ascii="Times New Roman" w:eastAsia="Times New Roman" w:hAnsi="Times New Roman" w:cs="Times New Roman"/>
                <w:color w:val="000000"/>
                <w:sz w:val="24"/>
                <w:szCs w:val="24"/>
              </w:rPr>
              <w:t>Hội chứng B</w:t>
            </w:r>
          </w:p>
        </w:tc>
        <w:tc>
          <w:tcPr>
            <w:tcW w:w="2316" w:type="dxa"/>
          </w:tcPr>
          <w:p w14:paraId="78BDEB53" w14:textId="4F410D56"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5D0EBE">
              <w:rPr>
                <w:rFonts w:ascii="Times New Roman" w:eastAsia="Times New Roman" w:hAnsi="Times New Roman" w:cs="Times New Roman"/>
                <w:color w:val="000000"/>
                <w:sz w:val="24"/>
                <w:szCs w:val="24"/>
              </w:rPr>
              <w:t>Có</w:t>
            </w:r>
          </w:p>
        </w:tc>
        <w:tc>
          <w:tcPr>
            <w:tcW w:w="1926" w:type="dxa"/>
          </w:tcPr>
          <w:p w14:paraId="28F9C192" w14:textId="0DA98A9D"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sz w:val="24"/>
                <w:szCs w:val="24"/>
              </w:rPr>
              <w:t>16</w:t>
            </w:r>
          </w:p>
        </w:tc>
        <w:tc>
          <w:tcPr>
            <w:tcW w:w="2268" w:type="dxa"/>
          </w:tcPr>
          <w:p w14:paraId="1083BF9B" w14:textId="3C3771DE" w:rsidR="00952C2D" w:rsidRPr="005D0EBE" w:rsidRDefault="00952C2D" w:rsidP="00952C2D">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sz w:val="24"/>
                <w:szCs w:val="24"/>
              </w:rPr>
              <w:t>19,3</w:t>
            </w:r>
          </w:p>
        </w:tc>
      </w:tr>
      <w:tr w:rsidR="006E3E17" w:rsidRPr="005D0EBE" w14:paraId="48447728" w14:textId="77777777" w:rsidTr="00AF5BC7">
        <w:trPr>
          <w:jc w:val="center"/>
        </w:trPr>
        <w:tc>
          <w:tcPr>
            <w:tcW w:w="4023" w:type="dxa"/>
            <w:gridSpan w:val="2"/>
            <w:vAlign w:val="center"/>
          </w:tcPr>
          <w:p w14:paraId="32591435" w14:textId="0D37845A" w:rsidR="006E3E17" w:rsidRPr="005D0EBE" w:rsidRDefault="006E3E17" w:rsidP="006E3E17">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5D0EBE">
              <w:rPr>
                <w:rFonts w:ascii="Times New Roman" w:eastAsia="Times New Roman" w:hAnsi="Times New Roman" w:cs="Times New Roman"/>
                <w:color w:val="000000"/>
                <w:sz w:val="24"/>
                <w:szCs w:val="24"/>
              </w:rPr>
              <w:t xml:space="preserve">Có tổn thương ngoài hạch  </w:t>
            </w:r>
          </w:p>
        </w:tc>
        <w:tc>
          <w:tcPr>
            <w:tcW w:w="1926" w:type="dxa"/>
          </w:tcPr>
          <w:p w14:paraId="1E690ECC" w14:textId="54CD031C" w:rsidR="006E3E17" w:rsidRPr="005D0EBE" w:rsidRDefault="006E3E17" w:rsidP="006E3E17">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color w:val="000000"/>
                <w:sz w:val="24"/>
                <w:szCs w:val="24"/>
              </w:rPr>
              <w:t>38</w:t>
            </w:r>
          </w:p>
        </w:tc>
        <w:tc>
          <w:tcPr>
            <w:tcW w:w="2268" w:type="dxa"/>
          </w:tcPr>
          <w:p w14:paraId="3F695DE9" w14:textId="57FD2EEC" w:rsidR="006E3E17" w:rsidRPr="005D0EBE" w:rsidRDefault="006E3E17" w:rsidP="006E3E17">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color w:val="000000"/>
                <w:sz w:val="24"/>
                <w:szCs w:val="24"/>
              </w:rPr>
              <w:t>45,8</w:t>
            </w:r>
          </w:p>
        </w:tc>
      </w:tr>
      <w:tr w:rsidR="006E3E17" w:rsidRPr="005D0EBE" w14:paraId="722BA825" w14:textId="77777777" w:rsidTr="0085327B">
        <w:trPr>
          <w:jc w:val="center"/>
        </w:trPr>
        <w:tc>
          <w:tcPr>
            <w:tcW w:w="1707" w:type="dxa"/>
            <w:vAlign w:val="center"/>
          </w:tcPr>
          <w:p w14:paraId="294ECE99" w14:textId="26FE0733" w:rsidR="006E3E17" w:rsidRPr="005D0EBE" w:rsidRDefault="006E3E17" w:rsidP="006E3E17">
            <w:pPr>
              <w:widowControl w:val="0"/>
              <w:pBdr>
                <w:top w:val="nil"/>
                <w:left w:val="nil"/>
                <w:bottom w:val="nil"/>
                <w:right w:val="nil"/>
                <w:between w:val="nil"/>
              </w:pBdr>
              <w:spacing w:after="0"/>
              <w:rPr>
                <w:rFonts w:ascii="Times New Roman" w:hAnsi="Times New Roman" w:cs="Times New Roman"/>
                <w:color w:val="000000"/>
                <w:sz w:val="24"/>
                <w:szCs w:val="24"/>
              </w:rPr>
            </w:pPr>
            <w:r w:rsidRPr="005D0EBE">
              <w:rPr>
                <w:rFonts w:ascii="Times New Roman" w:eastAsia="Times New Roman" w:hAnsi="Times New Roman" w:cs="Times New Roman"/>
                <w:color w:val="000000"/>
                <w:sz w:val="24"/>
                <w:szCs w:val="24"/>
              </w:rPr>
              <w:t>Kích thước tổn thương</w:t>
            </w:r>
          </w:p>
        </w:tc>
        <w:tc>
          <w:tcPr>
            <w:tcW w:w="2316" w:type="dxa"/>
          </w:tcPr>
          <w:p w14:paraId="66067AA2" w14:textId="77777777" w:rsidR="006E3E17" w:rsidRPr="005D0EBE" w:rsidRDefault="006E3E17" w:rsidP="006E3E17">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5D0EBE">
              <w:rPr>
                <w:rFonts w:ascii="Times New Roman" w:eastAsia="Times New Roman" w:hAnsi="Times New Roman" w:cs="Times New Roman"/>
                <w:color w:val="000000"/>
                <w:sz w:val="24"/>
                <w:szCs w:val="24"/>
              </w:rPr>
              <w:t xml:space="preserve">Trung vị </w:t>
            </w:r>
          </w:p>
          <w:p w14:paraId="4F588358" w14:textId="51FA3905" w:rsidR="006E3E17" w:rsidRPr="005D0EBE" w:rsidRDefault="006E3E17" w:rsidP="006E3E17">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5D0EBE">
              <w:rPr>
                <w:rFonts w:ascii="Times New Roman" w:eastAsia="Times New Roman" w:hAnsi="Times New Roman" w:cs="Times New Roman"/>
                <w:color w:val="000000"/>
                <w:sz w:val="24"/>
                <w:szCs w:val="24"/>
              </w:rPr>
              <w:t>(min - max) cm</w:t>
            </w:r>
          </w:p>
        </w:tc>
        <w:tc>
          <w:tcPr>
            <w:tcW w:w="4194" w:type="dxa"/>
            <w:gridSpan w:val="2"/>
          </w:tcPr>
          <w:p w14:paraId="4C43FDF1" w14:textId="77777777" w:rsidR="006E3E17" w:rsidRPr="005D0EBE" w:rsidRDefault="006E3E17" w:rsidP="006E3E17">
            <w:pPr>
              <w:pBdr>
                <w:top w:val="nil"/>
                <w:left w:val="nil"/>
                <w:bottom w:val="nil"/>
                <w:right w:val="nil"/>
                <w:between w:val="nil"/>
              </w:pBdr>
              <w:spacing w:after="0" w:line="360" w:lineRule="auto"/>
              <w:ind w:left="720" w:hanging="720"/>
              <w:jc w:val="center"/>
              <w:rPr>
                <w:rFonts w:ascii="Times New Roman" w:eastAsia="Times New Roman" w:hAnsi="Times New Roman" w:cs="Times New Roman"/>
                <w:color w:val="000000"/>
                <w:sz w:val="24"/>
                <w:szCs w:val="24"/>
              </w:rPr>
            </w:pPr>
            <w:r w:rsidRPr="005D0EBE">
              <w:rPr>
                <w:rFonts w:ascii="Times New Roman" w:eastAsia="Times New Roman" w:hAnsi="Times New Roman" w:cs="Times New Roman"/>
                <w:color w:val="000000"/>
                <w:sz w:val="24"/>
                <w:szCs w:val="24"/>
              </w:rPr>
              <w:t>4,2</w:t>
            </w:r>
          </w:p>
          <w:p w14:paraId="367CF0B9" w14:textId="113D2581" w:rsidR="006E3E17" w:rsidRPr="005D0EBE" w:rsidRDefault="006E3E17" w:rsidP="006E3E17">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color w:val="000000"/>
                <w:sz w:val="24"/>
                <w:szCs w:val="24"/>
              </w:rPr>
              <w:t>(1-16)</w:t>
            </w:r>
          </w:p>
        </w:tc>
      </w:tr>
      <w:tr w:rsidR="006E3E17" w:rsidRPr="005D0EBE" w14:paraId="65FA1378" w14:textId="77777777" w:rsidTr="00050D43">
        <w:trPr>
          <w:jc w:val="center"/>
        </w:trPr>
        <w:tc>
          <w:tcPr>
            <w:tcW w:w="4023" w:type="dxa"/>
            <w:gridSpan w:val="2"/>
            <w:vAlign w:val="center"/>
          </w:tcPr>
          <w:p w14:paraId="39C9E766" w14:textId="64B6A5FC" w:rsidR="006E3E17" w:rsidRPr="005D0EBE" w:rsidRDefault="006E3E17" w:rsidP="006E3E17">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5D0EBE">
              <w:rPr>
                <w:rFonts w:ascii="Times New Roman" w:eastAsia="Times New Roman" w:hAnsi="Times New Roman" w:cs="Times New Roman"/>
                <w:color w:val="000000"/>
                <w:sz w:val="24"/>
                <w:szCs w:val="24"/>
              </w:rPr>
              <w:t>Bulky &gt; 7,5cm</w:t>
            </w:r>
          </w:p>
        </w:tc>
        <w:tc>
          <w:tcPr>
            <w:tcW w:w="1926" w:type="dxa"/>
          </w:tcPr>
          <w:p w14:paraId="11BF0EB9" w14:textId="4E0AB0A1" w:rsidR="006E3E17" w:rsidRPr="005D0EBE" w:rsidRDefault="006E3E17" w:rsidP="006E3E17">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color w:val="000000"/>
                <w:sz w:val="24"/>
                <w:szCs w:val="24"/>
              </w:rPr>
              <w:t>17</w:t>
            </w:r>
          </w:p>
        </w:tc>
        <w:tc>
          <w:tcPr>
            <w:tcW w:w="2268" w:type="dxa"/>
          </w:tcPr>
          <w:p w14:paraId="69A47A70" w14:textId="0B26E28A" w:rsidR="006E3E17" w:rsidRPr="005D0EBE" w:rsidRDefault="006E3E17" w:rsidP="006E3E17">
            <w:pPr>
              <w:pBdr>
                <w:top w:val="nil"/>
                <w:left w:val="nil"/>
                <w:bottom w:val="nil"/>
                <w:right w:val="nil"/>
                <w:between w:val="nil"/>
              </w:pBdr>
              <w:spacing w:after="0"/>
              <w:jc w:val="center"/>
              <w:rPr>
                <w:rFonts w:ascii="Times New Roman" w:eastAsia="Times New Roman" w:hAnsi="Times New Roman" w:cs="Times New Roman"/>
                <w:color w:val="010205"/>
                <w:sz w:val="24"/>
                <w:szCs w:val="24"/>
              </w:rPr>
            </w:pPr>
            <w:r w:rsidRPr="005D0EBE">
              <w:rPr>
                <w:rFonts w:ascii="Times New Roman" w:eastAsia="Times New Roman" w:hAnsi="Times New Roman" w:cs="Times New Roman"/>
                <w:color w:val="000000"/>
                <w:sz w:val="24"/>
                <w:szCs w:val="24"/>
              </w:rPr>
              <w:t>20,5</w:t>
            </w:r>
          </w:p>
        </w:tc>
      </w:tr>
    </w:tbl>
    <w:p w14:paraId="12AE0571" w14:textId="77777777" w:rsidR="009C6155" w:rsidRPr="005D0EBE" w:rsidRDefault="009C6155" w:rsidP="00351E93">
      <w:pPr>
        <w:spacing w:after="0"/>
        <w:jc w:val="center"/>
        <w:rPr>
          <w:rFonts w:ascii="Times New Roman" w:hAnsi="Times New Roman" w:cs="Times New Roman"/>
          <w:b/>
          <w:color w:val="000000" w:themeColor="text1"/>
          <w:sz w:val="24"/>
          <w:szCs w:val="24"/>
        </w:rPr>
      </w:pPr>
    </w:p>
    <w:p w14:paraId="56EC9445" w14:textId="0F62BB1B" w:rsidR="005A34CE" w:rsidRPr="005D0EBE" w:rsidRDefault="005A34CE" w:rsidP="005A354D">
      <w:pPr>
        <w:spacing w:line="360" w:lineRule="auto"/>
        <w:jc w:val="both"/>
        <w:rPr>
          <w:rFonts w:ascii="Times New Roman" w:hAnsi="Times New Roman" w:cs="Times New Roman"/>
          <w:color w:val="000000" w:themeColor="text1"/>
          <w:sz w:val="24"/>
          <w:szCs w:val="24"/>
        </w:rPr>
      </w:pPr>
      <w:r w:rsidRPr="005D0EBE">
        <w:rPr>
          <w:rFonts w:ascii="Times New Roman" w:hAnsi="Times New Roman" w:cs="Times New Roman"/>
          <w:b/>
          <w:color w:val="000000" w:themeColor="text1"/>
          <w:sz w:val="24"/>
          <w:szCs w:val="24"/>
        </w:rPr>
        <w:t>Nhận xét:</w:t>
      </w:r>
      <w:r w:rsidRPr="005D0EBE">
        <w:rPr>
          <w:rFonts w:ascii="Times New Roman" w:hAnsi="Times New Roman" w:cs="Times New Roman"/>
          <w:color w:val="000000" w:themeColor="text1"/>
          <w:sz w:val="24"/>
          <w:szCs w:val="24"/>
        </w:rPr>
        <w:t xml:space="preserve"> </w:t>
      </w:r>
      <w:r w:rsidR="00A55883" w:rsidRPr="005D0EBE">
        <w:rPr>
          <w:rFonts w:ascii="Times New Roman" w:hAnsi="Times New Roman" w:cs="Times New Roman"/>
          <w:color w:val="000000" w:themeColor="text1"/>
          <w:sz w:val="24"/>
          <w:szCs w:val="24"/>
        </w:rPr>
        <w:t xml:space="preserve">Độ tuổi trung bình của các bệnh nhân trong nghiên cứu là 59,9; nhóm tuổi 61-75 tuổi chiếm tỷ lệ cao nhất (50,6 %). </w:t>
      </w:r>
      <w:r w:rsidR="005A354D" w:rsidRPr="005D0EBE">
        <w:rPr>
          <w:rFonts w:ascii="Times New Roman" w:hAnsi="Times New Roman" w:cs="Times New Roman"/>
          <w:color w:val="000000" w:themeColor="text1"/>
          <w:sz w:val="24"/>
          <w:szCs w:val="24"/>
        </w:rPr>
        <w:t>Hầu hết các bệnh nhân có chỉ số toàn trạng ECOG là 0 và 1, chiếm 97,6%. Hội chứng B chiếm tỷ lệ là 19,3%.</w:t>
      </w:r>
    </w:p>
    <w:p w14:paraId="6793FA4B" w14:textId="77777777" w:rsidR="00DE1B7C" w:rsidRPr="005D0EBE" w:rsidRDefault="00DE1B7C" w:rsidP="00DE1B7C">
      <w:pPr>
        <w:keepNext/>
        <w:spacing w:after="0" w:line="360" w:lineRule="auto"/>
        <w:jc w:val="center"/>
        <w:rPr>
          <w:rFonts w:ascii="Times New Roman" w:eastAsia="Times New Roman" w:hAnsi="Times New Roman" w:cs="Times New Roman"/>
          <w:sz w:val="24"/>
          <w:szCs w:val="24"/>
        </w:rPr>
      </w:pPr>
      <w:r w:rsidRPr="005D0EBE">
        <w:rPr>
          <w:rFonts w:ascii="Times New Roman" w:eastAsia="Times New Roman" w:hAnsi="Times New Roman" w:cs="Times New Roman"/>
          <w:noProof/>
          <w:sz w:val="24"/>
          <w:szCs w:val="24"/>
        </w:rPr>
        <w:drawing>
          <wp:inline distT="0" distB="0" distL="0" distR="0" wp14:anchorId="0B4E7ECE" wp14:editId="0DE0DA1B">
            <wp:extent cx="2914650" cy="2305050"/>
            <wp:effectExtent l="0" t="0" r="0" b="0"/>
            <wp:docPr id="232427123" name="Chart 232427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F608C8" w14:textId="77777777" w:rsidR="00DE1B7C" w:rsidRPr="005D0EBE" w:rsidRDefault="00DE1B7C" w:rsidP="00DE1B7C">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bookmarkStart w:id="3" w:name="_heading=h.3u2rp3q" w:colFirst="0" w:colLast="0"/>
      <w:bookmarkEnd w:id="3"/>
      <w:r w:rsidRPr="005D0EBE">
        <w:rPr>
          <w:rFonts w:ascii="Times New Roman" w:eastAsia="Times New Roman" w:hAnsi="Times New Roman" w:cs="Times New Roman"/>
          <w:b/>
          <w:color w:val="000000"/>
          <w:sz w:val="24"/>
          <w:szCs w:val="24"/>
        </w:rPr>
        <w:t>Biểu đồ 3. 1.</w:t>
      </w:r>
      <w:r w:rsidRPr="005D0EBE">
        <w:rPr>
          <w:rFonts w:ascii="Times New Roman" w:hAnsi="Times New Roman" w:cs="Times New Roman"/>
          <w:sz w:val="24"/>
          <w:szCs w:val="24"/>
        </w:rPr>
        <w:fldChar w:fldCharType="begin"/>
      </w:r>
      <w:r w:rsidRPr="005D0EBE">
        <w:rPr>
          <w:rFonts w:ascii="Times New Roman" w:hAnsi="Times New Roman" w:cs="Times New Roman"/>
          <w:sz w:val="24"/>
          <w:szCs w:val="24"/>
        </w:rPr>
        <w:instrText xml:space="preserve"> HYPERLINK \l "_heading=h.1a346fx" </w:instrText>
      </w:r>
      <w:r w:rsidRPr="005D0EBE">
        <w:rPr>
          <w:rFonts w:ascii="Times New Roman" w:hAnsi="Times New Roman" w:cs="Times New Roman"/>
          <w:sz w:val="24"/>
          <w:szCs w:val="24"/>
        </w:rPr>
        <w:fldChar w:fldCharType="separate"/>
      </w:r>
      <w:r w:rsidRPr="005D0EBE">
        <w:rPr>
          <w:rFonts w:ascii="Times New Roman" w:eastAsia="Times New Roman" w:hAnsi="Times New Roman" w:cs="Times New Roman"/>
          <w:b/>
          <w:color w:val="000000"/>
          <w:sz w:val="24"/>
          <w:szCs w:val="24"/>
        </w:rPr>
        <w:t xml:space="preserve"> Tỉ lệ tái phát và kháng trị trước điều trị</w:t>
      </w:r>
    </w:p>
    <w:p w14:paraId="46A29DFE" w14:textId="1F819C60" w:rsidR="00DE1B7C" w:rsidRPr="005D0EBE" w:rsidRDefault="00DE1B7C" w:rsidP="00DE1B7C">
      <w:pPr>
        <w:pBdr>
          <w:top w:val="nil"/>
          <w:left w:val="nil"/>
          <w:bottom w:val="nil"/>
          <w:right w:val="nil"/>
          <w:between w:val="nil"/>
        </w:pBdr>
        <w:tabs>
          <w:tab w:val="right" w:pos="8777"/>
        </w:tabs>
        <w:spacing w:after="0" w:line="360" w:lineRule="auto"/>
        <w:rPr>
          <w:rFonts w:ascii="Times New Roman" w:eastAsia="Times New Roman" w:hAnsi="Times New Roman" w:cs="Times New Roman"/>
          <w:b/>
          <w:color w:val="000000"/>
          <w:sz w:val="24"/>
          <w:szCs w:val="24"/>
        </w:rPr>
      </w:pPr>
      <w:r w:rsidRPr="005D0EBE">
        <w:rPr>
          <w:rFonts w:ascii="Times New Roman" w:hAnsi="Times New Roman" w:cs="Times New Roman"/>
          <w:sz w:val="24"/>
          <w:szCs w:val="24"/>
        </w:rPr>
        <w:fldChar w:fldCharType="end"/>
      </w:r>
      <w:r w:rsidRPr="005D0EBE">
        <w:rPr>
          <w:rFonts w:ascii="Times New Roman" w:eastAsia="Times New Roman" w:hAnsi="Times New Roman" w:cs="Times New Roman"/>
          <w:b/>
          <w:color w:val="000000"/>
          <w:sz w:val="24"/>
          <w:szCs w:val="24"/>
        </w:rPr>
        <w:t xml:space="preserve">Nhận xét: </w:t>
      </w:r>
      <w:r w:rsidRPr="005D0EBE">
        <w:rPr>
          <w:rFonts w:ascii="Times New Roman" w:eastAsia="Times New Roman" w:hAnsi="Times New Roman" w:cs="Times New Roman"/>
          <w:sz w:val="24"/>
          <w:szCs w:val="24"/>
        </w:rPr>
        <w:t>Trong số 83 bệnh nhân nghiên cứu, có 64% bệnh nhân tái phát, 36% bệnh nhân kháng trị với các phác đồ trước đó.</w:t>
      </w:r>
    </w:p>
    <w:p w14:paraId="5486F189" w14:textId="791E2E06" w:rsidR="005A34CE" w:rsidRPr="005D0EBE" w:rsidRDefault="005A34CE" w:rsidP="003229E7">
      <w:pPr>
        <w:spacing w:after="0" w:line="360" w:lineRule="auto"/>
        <w:jc w:val="center"/>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lastRenderedPageBreak/>
        <w:t>Bảng 3.</w:t>
      </w:r>
      <w:r w:rsidR="005D0EBE">
        <w:rPr>
          <w:rFonts w:ascii="Times New Roman" w:hAnsi="Times New Roman" w:cs="Times New Roman"/>
          <w:b/>
          <w:color w:val="000000" w:themeColor="text1"/>
          <w:sz w:val="24"/>
          <w:szCs w:val="24"/>
        </w:rPr>
        <w:t>2</w:t>
      </w:r>
      <w:r w:rsidRPr="005D0EBE">
        <w:rPr>
          <w:rFonts w:ascii="Times New Roman" w:hAnsi="Times New Roman" w:cs="Times New Roman"/>
          <w:b/>
          <w:color w:val="000000" w:themeColor="text1"/>
          <w:sz w:val="24"/>
          <w:szCs w:val="24"/>
        </w:rPr>
        <w:t>. Tỉ lệ đáp ứng giữa kỳ và cuối kì</w:t>
      </w:r>
    </w:p>
    <w:tbl>
      <w:tblPr>
        <w:tblStyle w:val="TableGrid"/>
        <w:tblW w:w="8815" w:type="dxa"/>
        <w:tblLayout w:type="fixed"/>
        <w:tblLook w:val="04A0" w:firstRow="1" w:lastRow="0" w:firstColumn="1" w:lastColumn="0" w:noHBand="0" w:noVBand="1"/>
      </w:tblPr>
      <w:tblGrid>
        <w:gridCol w:w="4225"/>
        <w:gridCol w:w="2340"/>
        <w:gridCol w:w="2250"/>
      </w:tblGrid>
      <w:tr w:rsidR="003607C6" w:rsidRPr="005D0EBE" w14:paraId="3208E5D9" w14:textId="77777777" w:rsidTr="004C2069">
        <w:tc>
          <w:tcPr>
            <w:tcW w:w="4225" w:type="dxa"/>
          </w:tcPr>
          <w:p w14:paraId="57ECE923" w14:textId="325E4D64" w:rsidR="005A34CE" w:rsidRPr="005D0EBE" w:rsidRDefault="005A34CE" w:rsidP="00C47424">
            <w:pPr>
              <w:spacing w:line="360" w:lineRule="auto"/>
              <w:rPr>
                <w:b/>
                <w:color w:val="000000" w:themeColor="text1"/>
                <w:sz w:val="24"/>
                <w:szCs w:val="24"/>
              </w:rPr>
            </w:pPr>
            <w:r w:rsidRPr="005D0EBE">
              <w:rPr>
                <w:b/>
                <w:color w:val="000000" w:themeColor="text1"/>
                <w:sz w:val="24"/>
                <w:szCs w:val="24"/>
              </w:rPr>
              <w:t>Phân loại đáp ứng (n=</w:t>
            </w:r>
            <w:r w:rsidR="00DB073D" w:rsidRPr="005D0EBE">
              <w:rPr>
                <w:b/>
                <w:color w:val="000000" w:themeColor="text1"/>
                <w:sz w:val="24"/>
                <w:szCs w:val="24"/>
              </w:rPr>
              <w:t>83</w:t>
            </w:r>
            <w:r w:rsidRPr="005D0EBE">
              <w:rPr>
                <w:b/>
                <w:color w:val="000000" w:themeColor="text1"/>
                <w:sz w:val="24"/>
                <w:szCs w:val="24"/>
              </w:rPr>
              <w:t>)</w:t>
            </w:r>
          </w:p>
        </w:tc>
        <w:tc>
          <w:tcPr>
            <w:tcW w:w="2340" w:type="dxa"/>
          </w:tcPr>
          <w:p w14:paraId="36B8D1C9" w14:textId="77777777" w:rsidR="005A34CE" w:rsidRPr="005D0EBE" w:rsidRDefault="005A34CE" w:rsidP="00C47424">
            <w:pPr>
              <w:spacing w:line="360" w:lineRule="auto"/>
              <w:rPr>
                <w:b/>
                <w:color w:val="000000" w:themeColor="text1"/>
                <w:sz w:val="24"/>
                <w:szCs w:val="24"/>
              </w:rPr>
            </w:pPr>
            <w:r w:rsidRPr="005D0EBE">
              <w:rPr>
                <w:b/>
                <w:color w:val="000000" w:themeColor="text1"/>
                <w:sz w:val="24"/>
                <w:szCs w:val="24"/>
              </w:rPr>
              <w:t>Giữa kì</w:t>
            </w:r>
            <w:r w:rsidR="004C2069" w:rsidRPr="005D0EBE">
              <w:rPr>
                <w:b/>
                <w:color w:val="000000" w:themeColor="text1"/>
                <w:sz w:val="24"/>
                <w:szCs w:val="24"/>
              </w:rPr>
              <w:t xml:space="preserve"> </w:t>
            </w:r>
            <w:r w:rsidRPr="005D0EBE">
              <w:rPr>
                <w:b/>
                <w:color w:val="000000" w:themeColor="text1"/>
                <w:sz w:val="24"/>
                <w:szCs w:val="24"/>
              </w:rPr>
              <w:t>n (%)</w:t>
            </w:r>
          </w:p>
        </w:tc>
        <w:tc>
          <w:tcPr>
            <w:tcW w:w="2250" w:type="dxa"/>
          </w:tcPr>
          <w:p w14:paraId="6B54DF56" w14:textId="77777777" w:rsidR="005A34CE" w:rsidRPr="005D0EBE" w:rsidRDefault="005A34CE" w:rsidP="00C47424">
            <w:pPr>
              <w:spacing w:line="360" w:lineRule="auto"/>
              <w:rPr>
                <w:b/>
                <w:color w:val="000000" w:themeColor="text1"/>
                <w:sz w:val="24"/>
                <w:szCs w:val="24"/>
              </w:rPr>
            </w:pPr>
            <w:r w:rsidRPr="005D0EBE">
              <w:rPr>
                <w:b/>
                <w:color w:val="000000" w:themeColor="text1"/>
                <w:sz w:val="24"/>
                <w:szCs w:val="24"/>
              </w:rPr>
              <w:t>Cuối kì</w:t>
            </w:r>
            <w:r w:rsidR="004C2069" w:rsidRPr="005D0EBE">
              <w:rPr>
                <w:b/>
                <w:color w:val="000000" w:themeColor="text1"/>
                <w:sz w:val="24"/>
                <w:szCs w:val="24"/>
              </w:rPr>
              <w:t xml:space="preserve"> </w:t>
            </w:r>
            <w:r w:rsidRPr="005D0EBE">
              <w:rPr>
                <w:b/>
                <w:color w:val="000000" w:themeColor="text1"/>
                <w:sz w:val="24"/>
                <w:szCs w:val="24"/>
              </w:rPr>
              <w:t>n (%)</w:t>
            </w:r>
          </w:p>
        </w:tc>
      </w:tr>
      <w:tr w:rsidR="001B105A" w:rsidRPr="005D0EBE" w14:paraId="13D5E506" w14:textId="77777777" w:rsidTr="006A68E8">
        <w:tc>
          <w:tcPr>
            <w:tcW w:w="4225" w:type="dxa"/>
          </w:tcPr>
          <w:p w14:paraId="1A667633" w14:textId="77777777" w:rsidR="001B105A" w:rsidRPr="005D0EBE" w:rsidRDefault="001B105A" w:rsidP="001B105A">
            <w:pPr>
              <w:spacing w:line="360" w:lineRule="auto"/>
              <w:rPr>
                <w:b/>
                <w:color w:val="000000" w:themeColor="text1"/>
                <w:sz w:val="24"/>
                <w:szCs w:val="24"/>
              </w:rPr>
            </w:pPr>
            <w:r w:rsidRPr="005D0EBE">
              <w:rPr>
                <w:b/>
                <w:color w:val="000000" w:themeColor="text1"/>
                <w:sz w:val="24"/>
                <w:szCs w:val="24"/>
              </w:rPr>
              <w:t>Đáp ứng hoàn toàn (CR)</w:t>
            </w:r>
          </w:p>
        </w:tc>
        <w:tc>
          <w:tcPr>
            <w:tcW w:w="2340" w:type="dxa"/>
          </w:tcPr>
          <w:p w14:paraId="67D13720" w14:textId="5059E969" w:rsidR="001B105A" w:rsidRPr="005D0EBE" w:rsidRDefault="001B105A" w:rsidP="001B105A">
            <w:pPr>
              <w:spacing w:line="360" w:lineRule="auto"/>
              <w:rPr>
                <w:b/>
                <w:color w:val="000000" w:themeColor="text1"/>
                <w:sz w:val="24"/>
                <w:szCs w:val="24"/>
              </w:rPr>
            </w:pPr>
            <w:r w:rsidRPr="005D0EBE">
              <w:rPr>
                <w:color w:val="010205"/>
                <w:sz w:val="24"/>
                <w:szCs w:val="24"/>
              </w:rPr>
              <w:t>13 (15,7)</w:t>
            </w:r>
          </w:p>
        </w:tc>
        <w:tc>
          <w:tcPr>
            <w:tcW w:w="2250" w:type="dxa"/>
          </w:tcPr>
          <w:p w14:paraId="603CB418" w14:textId="2A025ED5" w:rsidR="001B105A" w:rsidRPr="005D0EBE" w:rsidRDefault="001B105A" w:rsidP="001B105A">
            <w:pPr>
              <w:spacing w:line="360" w:lineRule="auto"/>
              <w:rPr>
                <w:color w:val="000000" w:themeColor="text1"/>
                <w:sz w:val="24"/>
                <w:szCs w:val="24"/>
              </w:rPr>
            </w:pPr>
            <w:r w:rsidRPr="005D0EBE">
              <w:rPr>
                <w:color w:val="010205"/>
                <w:sz w:val="24"/>
                <w:szCs w:val="24"/>
              </w:rPr>
              <w:t>17 (20,5)</w:t>
            </w:r>
          </w:p>
        </w:tc>
      </w:tr>
      <w:tr w:rsidR="001B105A" w:rsidRPr="005D0EBE" w14:paraId="5BDE60A9" w14:textId="77777777" w:rsidTr="006A68E8">
        <w:tc>
          <w:tcPr>
            <w:tcW w:w="4225" w:type="dxa"/>
          </w:tcPr>
          <w:p w14:paraId="0FBFC4AA" w14:textId="77777777" w:rsidR="001B105A" w:rsidRPr="005D0EBE" w:rsidRDefault="001B105A" w:rsidP="001B105A">
            <w:pPr>
              <w:spacing w:line="360" w:lineRule="auto"/>
              <w:rPr>
                <w:b/>
                <w:color w:val="000000" w:themeColor="text1"/>
                <w:sz w:val="24"/>
                <w:szCs w:val="24"/>
              </w:rPr>
            </w:pPr>
            <w:r w:rsidRPr="005D0EBE">
              <w:rPr>
                <w:b/>
                <w:color w:val="000000" w:themeColor="text1"/>
                <w:sz w:val="24"/>
                <w:szCs w:val="24"/>
              </w:rPr>
              <w:t>Đáp ứng một phần (PR)</w:t>
            </w:r>
          </w:p>
        </w:tc>
        <w:tc>
          <w:tcPr>
            <w:tcW w:w="2340" w:type="dxa"/>
          </w:tcPr>
          <w:p w14:paraId="4AE86B0C" w14:textId="6AC2A90A" w:rsidR="001B105A" w:rsidRPr="005D0EBE" w:rsidRDefault="001B105A" w:rsidP="001B105A">
            <w:pPr>
              <w:spacing w:line="360" w:lineRule="auto"/>
              <w:rPr>
                <w:b/>
                <w:color w:val="000000" w:themeColor="text1"/>
                <w:sz w:val="24"/>
                <w:szCs w:val="24"/>
              </w:rPr>
            </w:pPr>
            <w:r w:rsidRPr="005D0EBE">
              <w:rPr>
                <w:color w:val="010205"/>
                <w:sz w:val="24"/>
                <w:szCs w:val="24"/>
              </w:rPr>
              <w:t>54 (65,1)</w:t>
            </w:r>
          </w:p>
        </w:tc>
        <w:tc>
          <w:tcPr>
            <w:tcW w:w="2250" w:type="dxa"/>
          </w:tcPr>
          <w:p w14:paraId="515F9B87" w14:textId="3608A6B0" w:rsidR="001B105A" w:rsidRPr="005D0EBE" w:rsidRDefault="001B105A" w:rsidP="001B105A">
            <w:pPr>
              <w:spacing w:line="360" w:lineRule="auto"/>
              <w:rPr>
                <w:color w:val="000000" w:themeColor="text1"/>
                <w:sz w:val="24"/>
                <w:szCs w:val="24"/>
              </w:rPr>
            </w:pPr>
            <w:r w:rsidRPr="005D0EBE">
              <w:rPr>
                <w:color w:val="010205"/>
                <w:sz w:val="24"/>
                <w:szCs w:val="24"/>
              </w:rPr>
              <w:t>26 (31,3)</w:t>
            </w:r>
          </w:p>
        </w:tc>
      </w:tr>
      <w:tr w:rsidR="001B105A" w:rsidRPr="005D0EBE" w14:paraId="1B555B15" w14:textId="77777777" w:rsidTr="006A68E8">
        <w:tc>
          <w:tcPr>
            <w:tcW w:w="4225" w:type="dxa"/>
          </w:tcPr>
          <w:p w14:paraId="7D2F0C55" w14:textId="77777777" w:rsidR="001B105A" w:rsidRPr="005D0EBE" w:rsidRDefault="001B105A" w:rsidP="001B105A">
            <w:pPr>
              <w:spacing w:line="360" w:lineRule="auto"/>
              <w:rPr>
                <w:b/>
                <w:color w:val="000000" w:themeColor="text1"/>
                <w:sz w:val="24"/>
                <w:szCs w:val="24"/>
              </w:rPr>
            </w:pPr>
            <w:r w:rsidRPr="005D0EBE">
              <w:rPr>
                <w:b/>
                <w:color w:val="000000" w:themeColor="text1"/>
                <w:sz w:val="24"/>
                <w:szCs w:val="24"/>
              </w:rPr>
              <w:t>Bệnh giữ nguyên (SD)</w:t>
            </w:r>
          </w:p>
        </w:tc>
        <w:tc>
          <w:tcPr>
            <w:tcW w:w="2340" w:type="dxa"/>
          </w:tcPr>
          <w:p w14:paraId="10F90A06" w14:textId="2953E593" w:rsidR="001B105A" w:rsidRPr="005D0EBE" w:rsidRDefault="001B105A" w:rsidP="001B105A">
            <w:pPr>
              <w:spacing w:line="360" w:lineRule="auto"/>
              <w:rPr>
                <w:b/>
                <w:color w:val="000000" w:themeColor="text1"/>
                <w:sz w:val="24"/>
                <w:szCs w:val="24"/>
              </w:rPr>
            </w:pPr>
            <w:r w:rsidRPr="005D0EBE">
              <w:rPr>
                <w:color w:val="010205"/>
                <w:sz w:val="24"/>
                <w:szCs w:val="24"/>
              </w:rPr>
              <w:t>3 (3,6)</w:t>
            </w:r>
          </w:p>
        </w:tc>
        <w:tc>
          <w:tcPr>
            <w:tcW w:w="2250" w:type="dxa"/>
          </w:tcPr>
          <w:p w14:paraId="3D024672" w14:textId="3C239DA3" w:rsidR="001B105A" w:rsidRPr="005D0EBE" w:rsidRDefault="001B105A" w:rsidP="001B105A">
            <w:pPr>
              <w:spacing w:line="360" w:lineRule="auto"/>
              <w:rPr>
                <w:color w:val="000000" w:themeColor="text1"/>
                <w:sz w:val="24"/>
                <w:szCs w:val="24"/>
              </w:rPr>
            </w:pPr>
            <w:r w:rsidRPr="005D0EBE">
              <w:rPr>
                <w:color w:val="010205"/>
                <w:sz w:val="24"/>
                <w:szCs w:val="24"/>
              </w:rPr>
              <w:t>4 (4,8)</w:t>
            </w:r>
          </w:p>
        </w:tc>
      </w:tr>
      <w:tr w:rsidR="001B105A" w:rsidRPr="005D0EBE" w14:paraId="69F23210" w14:textId="77777777" w:rsidTr="006A68E8">
        <w:tc>
          <w:tcPr>
            <w:tcW w:w="4225" w:type="dxa"/>
          </w:tcPr>
          <w:p w14:paraId="3493FC09" w14:textId="77777777" w:rsidR="001B105A" w:rsidRPr="005D0EBE" w:rsidRDefault="001B105A" w:rsidP="001B105A">
            <w:pPr>
              <w:spacing w:line="360" w:lineRule="auto"/>
              <w:rPr>
                <w:b/>
                <w:color w:val="000000" w:themeColor="text1"/>
                <w:sz w:val="24"/>
                <w:szCs w:val="24"/>
              </w:rPr>
            </w:pPr>
            <w:r w:rsidRPr="005D0EBE">
              <w:rPr>
                <w:b/>
                <w:color w:val="000000" w:themeColor="text1"/>
                <w:sz w:val="24"/>
                <w:szCs w:val="24"/>
              </w:rPr>
              <w:t>Bệnh tiến triển (PD)</w:t>
            </w:r>
          </w:p>
        </w:tc>
        <w:tc>
          <w:tcPr>
            <w:tcW w:w="2340" w:type="dxa"/>
          </w:tcPr>
          <w:p w14:paraId="2C38C315" w14:textId="5DADA440" w:rsidR="001B105A" w:rsidRPr="005D0EBE" w:rsidRDefault="001B105A" w:rsidP="001B105A">
            <w:pPr>
              <w:spacing w:line="360" w:lineRule="auto"/>
              <w:rPr>
                <w:b/>
                <w:color w:val="000000" w:themeColor="text1"/>
                <w:sz w:val="24"/>
                <w:szCs w:val="24"/>
              </w:rPr>
            </w:pPr>
            <w:r w:rsidRPr="005D0EBE">
              <w:rPr>
                <w:color w:val="010205"/>
                <w:sz w:val="24"/>
                <w:szCs w:val="24"/>
              </w:rPr>
              <w:t>13 (15,7)</w:t>
            </w:r>
          </w:p>
        </w:tc>
        <w:tc>
          <w:tcPr>
            <w:tcW w:w="2250" w:type="dxa"/>
          </w:tcPr>
          <w:p w14:paraId="18A0BFFE" w14:textId="2885D0FE" w:rsidR="001B105A" w:rsidRPr="005D0EBE" w:rsidRDefault="001B105A" w:rsidP="001B105A">
            <w:pPr>
              <w:spacing w:line="360" w:lineRule="auto"/>
              <w:rPr>
                <w:color w:val="000000" w:themeColor="text1"/>
                <w:sz w:val="24"/>
                <w:szCs w:val="24"/>
              </w:rPr>
            </w:pPr>
            <w:r w:rsidRPr="005D0EBE">
              <w:rPr>
                <w:color w:val="010205"/>
                <w:sz w:val="24"/>
                <w:szCs w:val="24"/>
              </w:rPr>
              <w:t>36 (43,4)</w:t>
            </w:r>
          </w:p>
        </w:tc>
      </w:tr>
      <w:tr w:rsidR="001B105A" w:rsidRPr="005D0EBE" w14:paraId="2D7C3A2B" w14:textId="77777777" w:rsidTr="004C2069">
        <w:tc>
          <w:tcPr>
            <w:tcW w:w="4225" w:type="dxa"/>
          </w:tcPr>
          <w:p w14:paraId="0B7771E6" w14:textId="77777777" w:rsidR="001B105A" w:rsidRPr="005D0EBE" w:rsidRDefault="001B105A" w:rsidP="001B105A">
            <w:pPr>
              <w:spacing w:line="360" w:lineRule="auto"/>
              <w:rPr>
                <w:b/>
                <w:color w:val="000000" w:themeColor="text1"/>
                <w:sz w:val="24"/>
                <w:szCs w:val="24"/>
              </w:rPr>
            </w:pPr>
            <w:r w:rsidRPr="005D0EBE">
              <w:rPr>
                <w:b/>
                <w:color w:val="000000" w:themeColor="text1"/>
                <w:sz w:val="24"/>
                <w:szCs w:val="24"/>
              </w:rPr>
              <w:t>Tỉ lệ đáp ứng toàn bộ (CR+PR)</w:t>
            </w:r>
          </w:p>
        </w:tc>
        <w:tc>
          <w:tcPr>
            <w:tcW w:w="2340" w:type="dxa"/>
          </w:tcPr>
          <w:p w14:paraId="00592F1E" w14:textId="632EABDA" w:rsidR="001B105A" w:rsidRPr="005D0EBE" w:rsidRDefault="001B105A" w:rsidP="001B105A">
            <w:pPr>
              <w:spacing w:line="360" w:lineRule="auto"/>
              <w:rPr>
                <w:color w:val="000000" w:themeColor="text1"/>
                <w:sz w:val="24"/>
                <w:szCs w:val="24"/>
              </w:rPr>
            </w:pPr>
            <w:r w:rsidRPr="005D0EBE">
              <w:rPr>
                <w:color w:val="000000"/>
                <w:sz w:val="24"/>
                <w:szCs w:val="24"/>
              </w:rPr>
              <w:t>67 (80,8)</w:t>
            </w:r>
          </w:p>
        </w:tc>
        <w:tc>
          <w:tcPr>
            <w:tcW w:w="2250" w:type="dxa"/>
          </w:tcPr>
          <w:p w14:paraId="78714BF7" w14:textId="53686FBD" w:rsidR="001B105A" w:rsidRPr="005D0EBE" w:rsidRDefault="001B105A" w:rsidP="001B105A">
            <w:pPr>
              <w:spacing w:line="360" w:lineRule="auto"/>
              <w:rPr>
                <w:color w:val="000000" w:themeColor="text1"/>
                <w:sz w:val="24"/>
                <w:szCs w:val="24"/>
              </w:rPr>
            </w:pPr>
            <w:r w:rsidRPr="005D0EBE">
              <w:rPr>
                <w:color w:val="000000"/>
                <w:sz w:val="24"/>
                <w:szCs w:val="24"/>
              </w:rPr>
              <w:t>43 (51,8)</w:t>
            </w:r>
          </w:p>
        </w:tc>
      </w:tr>
    </w:tbl>
    <w:p w14:paraId="326E20D7" w14:textId="6A30C33B" w:rsidR="00351E93" w:rsidRPr="005D0EBE" w:rsidRDefault="00495673" w:rsidP="0049567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i/>
          <w:color w:val="000000"/>
          <w:sz w:val="24"/>
          <w:szCs w:val="24"/>
        </w:rPr>
      </w:pPr>
      <w:bookmarkStart w:id="4" w:name="_Toc120815816"/>
      <w:r w:rsidRPr="00636050">
        <w:rPr>
          <w:rFonts w:ascii="Times New Roman" w:eastAsia="Times New Roman" w:hAnsi="Times New Roman" w:cs="Times New Roman"/>
          <w:b/>
          <w:bCs/>
          <w:iCs/>
          <w:color w:val="000000"/>
          <w:sz w:val="24"/>
          <w:szCs w:val="24"/>
        </w:rPr>
        <w:t>Nhận xét:</w:t>
      </w:r>
      <w:r w:rsidRPr="005D0EBE">
        <w:rPr>
          <w:rFonts w:ascii="Times New Roman" w:eastAsia="Times New Roman" w:hAnsi="Times New Roman" w:cs="Times New Roman"/>
          <w:i/>
          <w:color w:val="000000"/>
          <w:sz w:val="24"/>
          <w:szCs w:val="24"/>
        </w:rPr>
        <w:t xml:space="preserve"> </w:t>
      </w:r>
      <w:r w:rsidRPr="005D0EBE">
        <w:rPr>
          <w:rFonts w:ascii="Times New Roman" w:eastAsia="Times New Roman" w:hAnsi="Times New Roman" w:cs="Times New Roman"/>
          <w:color w:val="000000"/>
          <w:sz w:val="24"/>
          <w:szCs w:val="24"/>
        </w:rPr>
        <w:t>Sau 3 chu kỳ có 13 bệnh nhân đáp ứng hoàn toàn chiếm 15,7%, đáp ứng một phần là 65,1%. Có 13 bệnh nhân tiến triển, và 3 bệnh nhân không đáp ứng chiếm tổng cộng 19,3%.</w:t>
      </w:r>
      <w:r w:rsidRPr="005D0EBE">
        <w:rPr>
          <w:rFonts w:ascii="Times New Roman" w:eastAsia="Times New Roman" w:hAnsi="Times New Roman" w:cs="Times New Roman"/>
          <w:i/>
          <w:color w:val="000000"/>
          <w:sz w:val="24"/>
          <w:szCs w:val="24"/>
        </w:rPr>
        <w:t xml:space="preserve"> </w:t>
      </w:r>
      <w:r w:rsidRPr="005D0EBE">
        <w:rPr>
          <w:rFonts w:ascii="Times New Roman" w:eastAsia="Times New Roman" w:hAnsi="Times New Roman" w:cs="Times New Roman"/>
          <w:color w:val="000000"/>
          <w:sz w:val="24"/>
          <w:szCs w:val="24"/>
        </w:rPr>
        <w:t>Sau 6 chu kì tỉ lệ đáp ứng hoàn toàn đạt 20,5%; đáp ứng một phần đạt 31,3% và có 43,4% bệnh nhân tiến triển.</w:t>
      </w:r>
      <w:bookmarkEnd w:id="4"/>
    </w:p>
    <w:p w14:paraId="6D0E720C" w14:textId="77777777" w:rsidR="005A34CE" w:rsidRPr="005D0EBE" w:rsidRDefault="005A34CE" w:rsidP="005A34CE">
      <w:pPr>
        <w:spacing w:after="120" w:line="360" w:lineRule="auto"/>
        <w:jc w:val="both"/>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Thời gian sống thêm không bệnh tiến triển và thời gian sống thêm toàn bộ</w:t>
      </w:r>
    </w:p>
    <w:p w14:paraId="5E3A2002" w14:textId="423DCE4E" w:rsidR="005A34CE" w:rsidRPr="005D0EBE" w:rsidRDefault="005A34CE" w:rsidP="005A34CE">
      <w:pPr>
        <w:spacing w:after="120" w:line="360" w:lineRule="auto"/>
        <w:jc w:val="both"/>
        <w:rPr>
          <w:rFonts w:ascii="Times New Roman" w:hAnsi="Times New Roman" w:cs="Times New Roman"/>
          <w:color w:val="000000" w:themeColor="text1"/>
          <w:sz w:val="24"/>
          <w:szCs w:val="24"/>
        </w:rPr>
      </w:pPr>
      <w:r w:rsidRPr="005D0EBE">
        <w:rPr>
          <w:rFonts w:ascii="Times New Roman" w:hAnsi="Times New Roman" w:cs="Times New Roman"/>
          <w:color w:val="000000" w:themeColor="text1"/>
          <w:sz w:val="24"/>
          <w:szCs w:val="24"/>
        </w:rPr>
        <w:t>Trong nghiên cứu của chúng tôi thời gian theo dõi trung bình là 1</w:t>
      </w:r>
      <w:r w:rsidR="00494194" w:rsidRPr="005D0EBE">
        <w:rPr>
          <w:rFonts w:ascii="Times New Roman" w:hAnsi="Times New Roman" w:cs="Times New Roman"/>
          <w:color w:val="000000" w:themeColor="text1"/>
          <w:sz w:val="24"/>
          <w:szCs w:val="24"/>
        </w:rPr>
        <w:t>8,3</w:t>
      </w:r>
      <w:r w:rsidRPr="005D0EBE">
        <w:rPr>
          <w:rFonts w:ascii="Times New Roman" w:hAnsi="Times New Roman" w:cs="Times New Roman"/>
          <w:color w:val="000000" w:themeColor="text1"/>
          <w:sz w:val="24"/>
          <w:szCs w:val="24"/>
        </w:rPr>
        <w:t xml:space="preserve"> tháng (ngắn nhất </w:t>
      </w:r>
      <w:r w:rsidR="00494194" w:rsidRPr="005D0EBE">
        <w:rPr>
          <w:rFonts w:ascii="Times New Roman" w:hAnsi="Times New Roman" w:cs="Times New Roman"/>
          <w:color w:val="000000" w:themeColor="text1"/>
          <w:sz w:val="24"/>
          <w:szCs w:val="24"/>
        </w:rPr>
        <w:t>1</w:t>
      </w:r>
      <w:r w:rsidRPr="005D0EBE">
        <w:rPr>
          <w:rFonts w:ascii="Times New Roman" w:hAnsi="Times New Roman" w:cs="Times New Roman"/>
          <w:color w:val="000000" w:themeColor="text1"/>
          <w:sz w:val="24"/>
          <w:szCs w:val="24"/>
        </w:rPr>
        <w:t xml:space="preserve"> tháng dài nhất</w:t>
      </w:r>
      <w:r w:rsidR="00494194" w:rsidRPr="005D0EBE">
        <w:rPr>
          <w:rFonts w:ascii="Times New Roman" w:hAnsi="Times New Roman" w:cs="Times New Roman"/>
          <w:color w:val="000000" w:themeColor="text1"/>
          <w:sz w:val="24"/>
          <w:szCs w:val="24"/>
        </w:rPr>
        <w:t xml:space="preserve"> 48</w:t>
      </w:r>
      <w:r w:rsidRPr="005D0EBE">
        <w:rPr>
          <w:rFonts w:ascii="Times New Roman" w:hAnsi="Times New Roman" w:cs="Times New Roman"/>
          <w:color w:val="000000" w:themeColor="text1"/>
          <w:sz w:val="24"/>
          <w:szCs w:val="24"/>
        </w:rPr>
        <w:t xml:space="preserve"> tháng) đã </w:t>
      </w:r>
      <w:r w:rsidR="00494194" w:rsidRPr="005D0EBE">
        <w:rPr>
          <w:rFonts w:ascii="Times New Roman" w:hAnsi="Times New Roman" w:cs="Times New Roman"/>
          <w:color w:val="000000" w:themeColor="text1"/>
          <w:sz w:val="24"/>
          <w:szCs w:val="24"/>
        </w:rPr>
        <w:t>ghi nhận</w:t>
      </w:r>
      <w:r w:rsidRPr="005D0EBE">
        <w:rPr>
          <w:rFonts w:ascii="Times New Roman" w:hAnsi="Times New Roman" w:cs="Times New Roman"/>
          <w:color w:val="000000" w:themeColor="text1"/>
          <w:sz w:val="24"/>
          <w:szCs w:val="24"/>
        </w:rPr>
        <w:t xml:space="preserve"> </w:t>
      </w:r>
      <w:r w:rsidR="00494194" w:rsidRPr="005D0EBE">
        <w:rPr>
          <w:rFonts w:ascii="Times New Roman" w:hAnsi="Times New Roman" w:cs="Times New Roman"/>
          <w:color w:val="000000" w:themeColor="text1"/>
          <w:sz w:val="24"/>
          <w:szCs w:val="24"/>
        </w:rPr>
        <w:t>56</w:t>
      </w:r>
      <w:r w:rsidRPr="005D0EBE">
        <w:rPr>
          <w:rFonts w:ascii="Times New Roman" w:hAnsi="Times New Roman" w:cs="Times New Roman"/>
          <w:color w:val="000000" w:themeColor="text1"/>
          <w:sz w:val="24"/>
          <w:szCs w:val="24"/>
        </w:rPr>
        <w:t xml:space="preserve"> </w:t>
      </w:r>
      <w:r w:rsidR="00494194" w:rsidRPr="005D0EBE">
        <w:rPr>
          <w:rFonts w:ascii="Times New Roman" w:hAnsi="Times New Roman" w:cs="Times New Roman"/>
          <w:color w:val="000000" w:themeColor="text1"/>
          <w:sz w:val="24"/>
          <w:szCs w:val="24"/>
        </w:rPr>
        <w:t>bệnh nhân có</w:t>
      </w:r>
      <w:r w:rsidRPr="005D0EBE">
        <w:rPr>
          <w:rFonts w:ascii="Times New Roman" w:hAnsi="Times New Roman" w:cs="Times New Roman"/>
          <w:color w:val="000000" w:themeColor="text1"/>
          <w:sz w:val="24"/>
          <w:szCs w:val="24"/>
        </w:rPr>
        <w:t xml:space="preserve"> tái phát và </w:t>
      </w:r>
      <w:r w:rsidR="00494194" w:rsidRPr="005D0EBE">
        <w:rPr>
          <w:rFonts w:ascii="Times New Roman" w:hAnsi="Times New Roman" w:cs="Times New Roman"/>
          <w:color w:val="000000" w:themeColor="text1"/>
          <w:sz w:val="24"/>
          <w:szCs w:val="24"/>
        </w:rPr>
        <w:t>45</w:t>
      </w:r>
      <w:r w:rsidRPr="005D0EBE">
        <w:rPr>
          <w:rFonts w:ascii="Times New Roman" w:hAnsi="Times New Roman" w:cs="Times New Roman"/>
          <w:color w:val="000000" w:themeColor="text1"/>
          <w:sz w:val="24"/>
          <w:szCs w:val="24"/>
        </w:rPr>
        <w:t xml:space="preserve"> </w:t>
      </w:r>
      <w:r w:rsidR="00494194" w:rsidRPr="005D0EBE">
        <w:rPr>
          <w:rFonts w:ascii="Times New Roman" w:hAnsi="Times New Roman" w:cs="Times New Roman"/>
          <w:color w:val="000000" w:themeColor="text1"/>
          <w:sz w:val="24"/>
          <w:szCs w:val="24"/>
        </w:rPr>
        <w:t>bệnh nhân</w:t>
      </w:r>
      <w:r w:rsidRPr="005D0EBE">
        <w:rPr>
          <w:rFonts w:ascii="Times New Roman" w:hAnsi="Times New Roman" w:cs="Times New Roman"/>
          <w:color w:val="000000" w:themeColor="text1"/>
          <w:sz w:val="24"/>
          <w:szCs w:val="24"/>
        </w:rPr>
        <w:t xml:space="preserve"> tử vong.</w:t>
      </w:r>
    </w:p>
    <w:p w14:paraId="11D83389" w14:textId="6D536D6A" w:rsidR="00494194" w:rsidRPr="005D0EBE" w:rsidRDefault="00A34316" w:rsidP="004C2069">
      <w:pPr>
        <w:spacing w:line="240" w:lineRule="auto"/>
        <w:rPr>
          <w:rFonts w:ascii="Times New Roman" w:hAnsi="Times New Roman" w:cs="Times New Roman"/>
          <w:color w:val="000000" w:themeColor="text1"/>
          <w:sz w:val="24"/>
          <w:szCs w:val="24"/>
        </w:rPr>
      </w:pPr>
      <w:r w:rsidRPr="005D0EBE">
        <w:rPr>
          <w:rFonts w:ascii="Times New Roman" w:eastAsia="Times New Roman" w:hAnsi="Times New Roman" w:cs="Times New Roman"/>
          <w:noProof/>
          <w:sz w:val="24"/>
          <w:szCs w:val="24"/>
        </w:rPr>
        <w:drawing>
          <wp:inline distT="0" distB="0" distL="0" distR="0" wp14:anchorId="734E0D19" wp14:editId="281BF686">
            <wp:extent cx="2400300" cy="1571625"/>
            <wp:effectExtent l="0" t="0" r="0" b="9525"/>
            <wp:docPr id="23242715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400523" cy="1571771"/>
                    </a:xfrm>
                    <a:prstGeom prst="rect">
                      <a:avLst/>
                    </a:prstGeom>
                    <a:ln/>
                  </pic:spPr>
                </pic:pic>
              </a:graphicData>
            </a:graphic>
          </wp:inline>
        </w:drawing>
      </w:r>
      <w:r w:rsidR="00DC1753" w:rsidRPr="005D0EBE">
        <w:rPr>
          <w:rFonts w:ascii="Times New Roman" w:eastAsia="Times New Roman" w:hAnsi="Times New Roman" w:cs="Times New Roman"/>
          <w:noProof/>
          <w:sz w:val="24"/>
          <w:szCs w:val="24"/>
        </w:rPr>
        <w:drawing>
          <wp:inline distT="0" distB="0" distL="0" distR="0" wp14:anchorId="349962C3" wp14:editId="22EB4353">
            <wp:extent cx="2562225" cy="1600200"/>
            <wp:effectExtent l="0" t="0" r="9525" b="0"/>
            <wp:docPr id="2324271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562640" cy="1600459"/>
                    </a:xfrm>
                    <a:prstGeom prst="rect">
                      <a:avLst/>
                    </a:prstGeom>
                    <a:ln/>
                  </pic:spPr>
                </pic:pic>
              </a:graphicData>
            </a:graphic>
          </wp:inline>
        </w:drawing>
      </w:r>
    </w:p>
    <w:p w14:paraId="7B2F1F86" w14:textId="3DA32BAB" w:rsidR="005D0EBE" w:rsidRPr="005D0EBE" w:rsidRDefault="005D0EBE" w:rsidP="004C2069">
      <w:pPr>
        <w:spacing w:line="240" w:lineRule="auto"/>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Biểu đồ 3.2. Thời gian sống thêm không bệnh tiến triển và thời gian sống thêm toàn bộ</w:t>
      </w:r>
    </w:p>
    <w:p w14:paraId="287CF297" w14:textId="3C85FC5C" w:rsidR="005A34CE" w:rsidRPr="005D0EBE" w:rsidRDefault="005A34CE" w:rsidP="004C2069">
      <w:pPr>
        <w:spacing w:line="240" w:lineRule="auto"/>
        <w:rPr>
          <w:rFonts w:ascii="Times New Roman" w:hAnsi="Times New Roman" w:cs="Times New Roman"/>
          <w:color w:val="000000" w:themeColor="text1"/>
          <w:sz w:val="24"/>
          <w:szCs w:val="24"/>
        </w:rPr>
      </w:pPr>
      <w:r w:rsidRPr="00636050">
        <w:rPr>
          <w:rFonts w:ascii="Times New Roman" w:hAnsi="Times New Roman" w:cs="Times New Roman"/>
          <w:b/>
          <w:bCs/>
          <w:color w:val="000000" w:themeColor="text1"/>
          <w:sz w:val="24"/>
          <w:szCs w:val="24"/>
        </w:rPr>
        <w:t>Nhận xét:</w:t>
      </w:r>
      <w:r w:rsidRPr="005D0EBE">
        <w:rPr>
          <w:rFonts w:ascii="Times New Roman" w:hAnsi="Times New Roman" w:cs="Times New Roman"/>
          <w:color w:val="000000" w:themeColor="text1"/>
          <w:sz w:val="24"/>
          <w:szCs w:val="24"/>
        </w:rPr>
        <w:t xml:space="preserve"> Thời gian sống thêm không bệnh tiến triển của nghiên cứu đạt trung vị 1</w:t>
      </w:r>
      <w:r w:rsidR="00DC1753" w:rsidRPr="005D0EBE">
        <w:rPr>
          <w:rFonts w:ascii="Times New Roman" w:hAnsi="Times New Roman" w:cs="Times New Roman"/>
          <w:color w:val="000000" w:themeColor="text1"/>
          <w:sz w:val="24"/>
          <w:szCs w:val="24"/>
        </w:rPr>
        <w:t>3</w:t>
      </w:r>
      <w:r w:rsidRPr="005D0EBE">
        <w:rPr>
          <w:rFonts w:ascii="Times New Roman" w:hAnsi="Times New Roman" w:cs="Times New Roman"/>
          <w:color w:val="000000" w:themeColor="text1"/>
          <w:sz w:val="24"/>
          <w:szCs w:val="24"/>
        </w:rPr>
        <w:t xml:space="preserve"> tháng.</w:t>
      </w:r>
    </w:p>
    <w:p w14:paraId="5C73534F" w14:textId="07844B26" w:rsidR="009A2353" w:rsidRPr="005D0EBE" w:rsidRDefault="005A34CE" w:rsidP="00C84431">
      <w:pPr>
        <w:spacing w:line="240" w:lineRule="auto"/>
        <w:rPr>
          <w:rFonts w:ascii="Times New Roman" w:hAnsi="Times New Roman" w:cs="Times New Roman"/>
          <w:color w:val="000000" w:themeColor="text1"/>
          <w:sz w:val="24"/>
          <w:szCs w:val="24"/>
        </w:rPr>
      </w:pPr>
      <w:r w:rsidRPr="005D0EBE">
        <w:rPr>
          <w:rFonts w:ascii="Times New Roman" w:hAnsi="Times New Roman" w:cs="Times New Roman"/>
          <w:color w:val="000000" w:themeColor="text1"/>
          <w:sz w:val="24"/>
          <w:szCs w:val="24"/>
        </w:rPr>
        <w:t>Thời gian sống thêm toàn bộ của nghiên cứu đạt trung vị 2</w:t>
      </w:r>
      <w:r w:rsidR="00DC1753" w:rsidRPr="005D0EBE">
        <w:rPr>
          <w:rFonts w:ascii="Times New Roman" w:hAnsi="Times New Roman" w:cs="Times New Roman"/>
          <w:color w:val="000000" w:themeColor="text1"/>
          <w:sz w:val="24"/>
          <w:szCs w:val="24"/>
        </w:rPr>
        <w:t>1</w:t>
      </w:r>
      <w:r w:rsidRPr="005D0EBE">
        <w:rPr>
          <w:rFonts w:ascii="Times New Roman" w:hAnsi="Times New Roman" w:cs="Times New Roman"/>
          <w:color w:val="000000" w:themeColor="text1"/>
          <w:sz w:val="24"/>
          <w:szCs w:val="24"/>
        </w:rPr>
        <w:t xml:space="preserve"> tháng</w:t>
      </w:r>
      <w:r w:rsidR="00DC1753" w:rsidRPr="005D0EBE">
        <w:rPr>
          <w:rFonts w:ascii="Times New Roman" w:hAnsi="Times New Roman" w:cs="Times New Roman"/>
          <w:color w:val="000000" w:themeColor="text1"/>
          <w:sz w:val="24"/>
          <w:szCs w:val="24"/>
        </w:rPr>
        <w:t>.</w:t>
      </w:r>
    </w:p>
    <w:p w14:paraId="69F97D97" w14:textId="4720E5C2" w:rsidR="009E7D24" w:rsidRPr="005D0EBE" w:rsidRDefault="009E7D24" w:rsidP="005D0EBE">
      <w:pPr>
        <w:spacing w:line="240" w:lineRule="auto"/>
        <w:rPr>
          <w:rFonts w:ascii="Times New Roman" w:hAnsi="Times New Roman" w:cs="Times New Roman"/>
          <w:color w:val="000000" w:themeColor="text1"/>
          <w:sz w:val="24"/>
          <w:szCs w:val="24"/>
        </w:rPr>
      </w:pPr>
      <w:r w:rsidRPr="005D0EBE">
        <w:rPr>
          <w:rFonts w:ascii="Times New Roman" w:eastAsia="Times New Roman" w:hAnsi="Times New Roman" w:cs="Times New Roman"/>
          <w:noProof/>
          <w:sz w:val="24"/>
          <w:szCs w:val="24"/>
        </w:rPr>
        <w:lastRenderedPageBreak/>
        <w:drawing>
          <wp:inline distT="0" distB="0" distL="0" distR="0" wp14:anchorId="5A00EA5C" wp14:editId="702BC4BA">
            <wp:extent cx="2857500" cy="2057400"/>
            <wp:effectExtent l="0" t="0" r="0" b="0"/>
            <wp:docPr id="23242715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2857868" cy="2057665"/>
                    </a:xfrm>
                    <a:prstGeom prst="rect">
                      <a:avLst/>
                    </a:prstGeom>
                    <a:ln/>
                  </pic:spPr>
                </pic:pic>
              </a:graphicData>
            </a:graphic>
          </wp:inline>
        </w:drawing>
      </w:r>
      <w:r w:rsidRPr="005D0EBE">
        <w:rPr>
          <w:rFonts w:ascii="Times New Roman" w:eastAsia="Times New Roman" w:hAnsi="Times New Roman" w:cs="Times New Roman"/>
          <w:noProof/>
          <w:sz w:val="24"/>
          <w:szCs w:val="24"/>
        </w:rPr>
        <w:drawing>
          <wp:inline distT="0" distB="0" distL="0" distR="0" wp14:anchorId="31FCC029" wp14:editId="4864C21B">
            <wp:extent cx="2800350" cy="2038350"/>
            <wp:effectExtent l="0" t="0" r="0" b="0"/>
            <wp:docPr id="232427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800534" cy="2038484"/>
                    </a:xfrm>
                    <a:prstGeom prst="rect">
                      <a:avLst/>
                    </a:prstGeom>
                    <a:ln/>
                  </pic:spPr>
                </pic:pic>
              </a:graphicData>
            </a:graphic>
          </wp:inline>
        </w:drawing>
      </w:r>
    </w:p>
    <w:p w14:paraId="2353EB90" w14:textId="4A2D31DC" w:rsidR="009E7D24" w:rsidRPr="005D0EBE" w:rsidRDefault="009E7D24" w:rsidP="009E7D24">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bookmarkStart w:id="5" w:name="_heading=h.1kc7wiv" w:colFirst="0" w:colLast="0"/>
      <w:bookmarkEnd w:id="5"/>
      <w:r w:rsidRPr="005D0EBE">
        <w:rPr>
          <w:rFonts w:ascii="Times New Roman" w:eastAsia="Times New Roman" w:hAnsi="Times New Roman" w:cs="Times New Roman"/>
          <w:b/>
          <w:color w:val="000000"/>
          <w:sz w:val="24"/>
          <w:szCs w:val="24"/>
        </w:rPr>
        <w:t>Biểu đồ 3.</w:t>
      </w:r>
      <w:r w:rsidR="0039078A" w:rsidRPr="005D0EBE">
        <w:rPr>
          <w:rFonts w:ascii="Times New Roman" w:eastAsia="Times New Roman" w:hAnsi="Times New Roman" w:cs="Times New Roman"/>
          <w:b/>
          <w:color w:val="000000"/>
          <w:sz w:val="24"/>
          <w:szCs w:val="24"/>
        </w:rPr>
        <w:t>3</w:t>
      </w:r>
      <w:r w:rsidRPr="005D0EBE">
        <w:rPr>
          <w:rFonts w:ascii="Times New Roman" w:eastAsia="Times New Roman" w:hAnsi="Times New Roman" w:cs="Times New Roman"/>
          <w:b/>
          <w:color w:val="000000"/>
          <w:sz w:val="24"/>
          <w:szCs w:val="24"/>
        </w:rPr>
        <w:t xml:space="preserve">. Liên quan giữa tái phát hay kháng trị và thời gian sống thêm </w:t>
      </w:r>
      <w:r w:rsidRPr="005D0EBE">
        <w:rPr>
          <w:rFonts w:ascii="Times New Roman" w:hAnsi="Times New Roman" w:cs="Times New Roman"/>
          <w:b/>
          <w:color w:val="000000" w:themeColor="text1"/>
          <w:sz w:val="24"/>
          <w:szCs w:val="24"/>
        </w:rPr>
        <w:t>không bệnh tiến triển và thời gian sống thêm toàn bộ</w:t>
      </w:r>
    </w:p>
    <w:p w14:paraId="50AF10B3" w14:textId="662A9725" w:rsidR="0039078A" w:rsidRPr="005D0EBE" w:rsidRDefault="009E7D24" w:rsidP="00B9442C">
      <w:pPr>
        <w:spacing w:after="0" w:line="360" w:lineRule="auto"/>
        <w:rPr>
          <w:rFonts w:ascii="Times New Roman" w:eastAsia="Times New Roman" w:hAnsi="Times New Roman" w:cs="Times New Roman"/>
          <w:sz w:val="24"/>
          <w:szCs w:val="24"/>
        </w:rPr>
      </w:pPr>
      <w:r w:rsidRPr="00636050">
        <w:rPr>
          <w:rFonts w:ascii="Times New Roman" w:eastAsia="Times New Roman" w:hAnsi="Times New Roman" w:cs="Times New Roman"/>
          <w:b/>
          <w:bCs/>
          <w:iCs/>
          <w:sz w:val="24"/>
          <w:szCs w:val="24"/>
        </w:rPr>
        <w:t>Nhận xét:</w:t>
      </w:r>
      <w:r w:rsidRPr="005D0EBE">
        <w:rPr>
          <w:rFonts w:ascii="Times New Roman" w:eastAsia="Times New Roman" w:hAnsi="Times New Roman" w:cs="Times New Roman"/>
          <w:i/>
          <w:sz w:val="24"/>
          <w:szCs w:val="24"/>
        </w:rPr>
        <w:t xml:space="preserve"> </w:t>
      </w:r>
      <w:r w:rsidR="00B9442C" w:rsidRPr="005D0EBE">
        <w:rPr>
          <w:rFonts w:ascii="Times New Roman" w:eastAsia="Times New Roman" w:hAnsi="Times New Roman" w:cs="Times New Roman"/>
          <w:sz w:val="24"/>
          <w:szCs w:val="24"/>
        </w:rPr>
        <w:t xml:space="preserve">Kháng trị là yếu tố tiên lượng độc lập với PFS (p&lt;0,05) nhưng không có ý nghĩa tiên lượng OS (p&gt;0,05) </w:t>
      </w:r>
    </w:p>
    <w:p w14:paraId="701620AD" w14:textId="4AF1A455" w:rsidR="0039078A" w:rsidRPr="005D0EBE" w:rsidRDefault="005A6694" w:rsidP="009E7D24">
      <w:pPr>
        <w:spacing w:after="0" w:line="360" w:lineRule="auto"/>
        <w:jc w:val="both"/>
        <w:rPr>
          <w:rFonts w:ascii="Times New Roman" w:eastAsia="Times New Roman" w:hAnsi="Times New Roman" w:cs="Times New Roman"/>
          <w:color w:val="000000"/>
          <w:sz w:val="24"/>
          <w:szCs w:val="24"/>
        </w:rPr>
      </w:pPr>
      <w:r w:rsidRPr="005D0EBE">
        <w:rPr>
          <w:rFonts w:ascii="Times New Roman" w:eastAsia="Times New Roman" w:hAnsi="Times New Roman" w:cs="Times New Roman"/>
          <w:noProof/>
          <w:color w:val="000000"/>
          <w:sz w:val="24"/>
          <w:szCs w:val="24"/>
        </w:rPr>
        <w:drawing>
          <wp:inline distT="0" distB="0" distL="0" distR="0" wp14:anchorId="7433BCA2" wp14:editId="4EB99D04">
            <wp:extent cx="2667000" cy="1866900"/>
            <wp:effectExtent l="0" t="0" r="0" b="0"/>
            <wp:docPr id="23242715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667000" cy="1866900"/>
                    </a:xfrm>
                    <a:prstGeom prst="rect">
                      <a:avLst/>
                    </a:prstGeom>
                    <a:ln/>
                  </pic:spPr>
                </pic:pic>
              </a:graphicData>
            </a:graphic>
          </wp:inline>
        </w:drawing>
      </w:r>
      <w:r w:rsidR="00A7342B" w:rsidRPr="005D0EBE">
        <w:rPr>
          <w:rFonts w:ascii="Times New Roman" w:eastAsia="Times New Roman" w:hAnsi="Times New Roman" w:cs="Times New Roman"/>
          <w:noProof/>
          <w:sz w:val="24"/>
          <w:szCs w:val="24"/>
        </w:rPr>
        <w:drawing>
          <wp:inline distT="0" distB="0" distL="0" distR="0" wp14:anchorId="333A258D" wp14:editId="6F4DDB27">
            <wp:extent cx="2924175" cy="1857375"/>
            <wp:effectExtent l="0" t="0" r="9525" b="9525"/>
            <wp:docPr id="2324271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924443" cy="1857545"/>
                    </a:xfrm>
                    <a:prstGeom prst="rect">
                      <a:avLst/>
                    </a:prstGeom>
                    <a:ln/>
                  </pic:spPr>
                </pic:pic>
              </a:graphicData>
            </a:graphic>
          </wp:inline>
        </w:drawing>
      </w:r>
    </w:p>
    <w:p w14:paraId="1D960BEC" w14:textId="2FB378ED" w:rsidR="00AF059A" w:rsidRPr="005D0EBE" w:rsidRDefault="00AF059A" w:rsidP="00AF059A">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5D0EBE">
        <w:rPr>
          <w:rFonts w:ascii="Times New Roman" w:eastAsia="Times New Roman" w:hAnsi="Times New Roman" w:cs="Times New Roman"/>
          <w:b/>
          <w:color w:val="000000"/>
          <w:sz w:val="24"/>
          <w:szCs w:val="24"/>
        </w:rPr>
        <w:t>Biểu đồ 3.</w:t>
      </w:r>
      <w:r w:rsidR="005D0EBE">
        <w:rPr>
          <w:rFonts w:ascii="Times New Roman" w:eastAsia="Times New Roman" w:hAnsi="Times New Roman" w:cs="Times New Roman"/>
          <w:b/>
          <w:color w:val="000000"/>
          <w:sz w:val="24"/>
          <w:szCs w:val="24"/>
        </w:rPr>
        <w:t>4</w:t>
      </w:r>
      <w:r w:rsidRPr="005D0EBE">
        <w:rPr>
          <w:rFonts w:ascii="Times New Roman" w:eastAsia="Times New Roman" w:hAnsi="Times New Roman" w:cs="Times New Roman"/>
          <w:b/>
          <w:color w:val="000000"/>
          <w:sz w:val="24"/>
          <w:szCs w:val="24"/>
        </w:rPr>
        <w:t xml:space="preserve">. Liên quan giữa yếu tố </w:t>
      </w:r>
      <w:r w:rsidR="001C4538" w:rsidRPr="005D0EBE">
        <w:rPr>
          <w:rFonts w:ascii="Times New Roman" w:eastAsia="Times New Roman" w:hAnsi="Times New Roman" w:cs="Times New Roman"/>
          <w:b/>
          <w:color w:val="000000"/>
          <w:sz w:val="24"/>
          <w:szCs w:val="24"/>
        </w:rPr>
        <w:t>đáp ứng</w:t>
      </w:r>
      <w:r w:rsidRPr="005D0EBE">
        <w:rPr>
          <w:rFonts w:ascii="Times New Roman" w:eastAsia="Times New Roman" w:hAnsi="Times New Roman" w:cs="Times New Roman"/>
          <w:b/>
          <w:color w:val="000000"/>
          <w:sz w:val="24"/>
          <w:szCs w:val="24"/>
        </w:rPr>
        <w:t xml:space="preserve"> và thời gian sống thêm </w:t>
      </w:r>
      <w:r w:rsidR="00A1253B" w:rsidRPr="005D0EBE">
        <w:rPr>
          <w:rFonts w:ascii="Times New Roman" w:hAnsi="Times New Roman" w:cs="Times New Roman"/>
          <w:b/>
          <w:color w:val="000000" w:themeColor="text1"/>
          <w:sz w:val="24"/>
          <w:szCs w:val="24"/>
        </w:rPr>
        <w:t>không bệnh tiến triển và thời gian sống thêm toàn bộ</w:t>
      </w:r>
    </w:p>
    <w:p w14:paraId="3553C520" w14:textId="36E48CAB" w:rsidR="00DC1753" w:rsidRPr="00EE519F" w:rsidRDefault="00AF059A" w:rsidP="00EE519F">
      <w:pPr>
        <w:spacing w:after="0" w:line="360" w:lineRule="auto"/>
        <w:rPr>
          <w:rFonts w:ascii="Times New Roman" w:eastAsia="Times New Roman" w:hAnsi="Times New Roman" w:cs="Times New Roman"/>
          <w:iCs/>
          <w:sz w:val="24"/>
          <w:szCs w:val="24"/>
        </w:rPr>
      </w:pPr>
      <w:r w:rsidRPr="00636050">
        <w:rPr>
          <w:rFonts w:ascii="Times New Roman" w:eastAsia="Times New Roman" w:hAnsi="Times New Roman" w:cs="Times New Roman"/>
          <w:b/>
          <w:bCs/>
          <w:iCs/>
          <w:sz w:val="24"/>
          <w:szCs w:val="24"/>
        </w:rPr>
        <w:t>Nhận xét:</w:t>
      </w:r>
      <w:r w:rsidRPr="005D0EBE">
        <w:rPr>
          <w:rFonts w:ascii="Times New Roman" w:eastAsia="Times New Roman" w:hAnsi="Times New Roman" w:cs="Times New Roman"/>
          <w:iCs/>
          <w:sz w:val="24"/>
          <w:szCs w:val="24"/>
        </w:rPr>
        <w:t xml:space="preserve"> </w:t>
      </w:r>
      <w:r w:rsidR="003D3C04">
        <w:rPr>
          <w:rFonts w:ascii="Times New Roman" w:eastAsia="Times New Roman" w:hAnsi="Times New Roman" w:cs="Times New Roman"/>
          <w:iCs/>
          <w:sz w:val="24"/>
          <w:szCs w:val="24"/>
        </w:rPr>
        <w:t>Đ</w:t>
      </w:r>
      <w:r w:rsidR="00AD5CE3" w:rsidRPr="005D0EBE">
        <w:rPr>
          <w:rFonts w:ascii="Times New Roman" w:eastAsia="Times New Roman" w:hAnsi="Times New Roman" w:cs="Times New Roman"/>
          <w:iCs/>
          <w:sz w:val="24"/>
          <w:szCs w:val="24"/>
        </w:rPr>
        <w:t>áp ứng sau điều trị là yếu tố tiên lượng độc lập với thời gian sống thêm không bệnh tiến triển và thời gian sống thêm toàn bộ với p&lt;0,001.</w:t>
      </w:r>
      <w:bookmarkStart w:id="6" w:name="_heading=h.44bvf6o" w:colFirst="0" w:colLast="0"/>
      <w:bookmarkEnd w:id="6"/>
    </w:p>
    <w:bookmarkEnd w:id="2"/>
    <w:p w14:paraId="4F4FF057" w14:textId="77777777" w:rsidR="005046DB" w:rsidRPr="005D0EBE" w:rsidRDefault="00F01571" w:rsidP="002D3530">
      <w:pPr>
        <w:pStyle w:val="ListParagraph"/>
        <w:spacing w:after="0"/>
        <w:ind w:left="0"/>
        <w:jc w:val="both"/>
        <w:rPr>
          <w:rFonts w:ascii="Times New Roman" w:hAnsi="Times New Roman"/>
          <w:b/>
          <w:color w:val="000000" w:themeColor="text1"/>
          <w:sz w:val="24"/>
          <w:szCs w:val="24"/>
        </w:rPr>
      </w:pPr>
      <w:r w:rsidRPr="005D0EBE">
        <w:rPr>
          <w:rFonts w:ascii="Times New Roman" w:hAnsi="Times New Roman"/>
          <w:b/>
          <w:color w:val="000000" w:themeColor="text1"/>
          <w:sz w:val="24"/>
          <w:szCs w:val="24"/>
        </w:rPr>
        <w:t>4</w:t>
      </w:r>
      <w:r w:rsidR="0011465C" w:rsidRPr="005D0EBE">
        <w:rPr>
          <w:rFonts w:ascii="Times New Roman" w:hAnsi="Times New Roman"/>
          <w:b/>
          <w:color w:val="000000" w:themeColor="text1"/>
          <w:sz w:val="24"/>
          <w:szCs w:val="24"/>
        </w:rPr>
        <w:t>. Bàn luận</w:t>
      </w:r>
    </w:p>
    <w:p w14:paraId="48C40FFF" w14:textId="77777777" w:rsidR="00662002" w:rsidRPr="005D0EBE" w:rsidRDefault="00662002" w:rsidP="00662002">
      <w:pPr>
        <w:pStyle w:val="Heading2"/>
        <w:rPr>
          <w:rFonts w:ascii="Times New Roman" w:hAnsi="Times New Roman" w:cs="Times New Roman"/>
          <w:b/>
          <w:color w:val="000000" w:themeColor="text1"/>
          <w:sz w:val="24"/>
          <w:szCs w:val="24"/>
        </w:rPr>
      </w:pPr>
      <w:bookmarkStart w:id="7" w:name="_Toc120815819"/>
      <w:r w:rsidRPr="005D0EBE">
        <w:rPr>
          <w:rFonts w:ascii="Times New Roman" w:hAnsi="Times New Roman" w:cs="Times New Roman"/>
          <w:b/>
          <w:color w:val="000000" w:themeColor="text1"/>
          <w:sz w:val="24"/>
          <w:szCs w:val="24"/>
        </w:rPr>
        <w:t>4.1. Đặc điểm chung của bệnh nhân</w:t>
      </w:r>
      <w:bookmarkEnd w:id="7"/>
    </w:p>
    <w:p w14:paraId="24A69409" w14:textId="01C146B8" w:rsidR="00662002" w:rsidRPr="005D0EBE" w:rsidRDefault="00662002" w:rsidP="00662002">
      <w:pPr>
        <w:spacing w:after="120" w:line="360" w:lineRule="auto"/>
        <w:jc w:val="both"/>
        <w:rPr>
          <w:rFonts w:ascii="Times New Roman" w:hAnsi="Times New Roman" w:cs="Times New Roman"/>
          <w:color w:val="000000" w:themeColor="text1"/>
          <w:sz w:val="24"/>
          <w:szCs w:val="24"/>
        </w:rPr>
      </w:pPr>
      <w:r w:rsidRPr="005D0EBE">
        <w:rPr>
          <w:rFonts w:ascii="Times New Roman" w:hAnsi="Times New Roman" w:cs="Times New Roman"/>
          <w:color w:val="000000" w:themeColor="text1"/>
          <w:sz w:val="24"/>
          <w:szCs w:val="24"/>
        </w:rPr>
        <w:t xml:space="preserve">Theo các thống kê trên thế giới các bệnh nhân u lympho tế bào B lớn lan tỏa có độ tuổi trung bình 64 và tỉ lệ nam giới chiếm 55%. Nghiên cứu của chúng tôi đa phần là bệnh nhân u lympho thể tế bào B lớn lan tỏa (87,5%) thu được kết quả tuổi trung bình của nghiên cứu là </w:t>
      </w:r>
      <w:r w:rsidR="00EE519F">
        <w:rPr>
          <w:rFonts w:ascii="Times New Roman" w:hAnsi="Times New Roman" w:cs="Times New Roman"/>
          <w:color w:val="000000" w:themeColor="text1"/>
          <w:sz w:val="24"/>
          <w:szCs w:val="24"/>
        </w:rPr>
        <w:t>59,9</w:t>
      </w:r>
      <w:r w:rsidRPr="005D0EBE">
        <w:rPr>
          <w:rFonts w:ascii="Times New Roman" w:hAnsi="Times New Roman" w:cs="Times New Roman"/>
          <w:color w:val="000000" w:themeColor="text1"/>
          <w:sz w:val="24"/>
          <w:szCs w:val="24"/>
        </w:rPr>
        <w:t xml:space="preserve">; tỉ lệ nam/nữ=1. </w:t>
      </w:r>
    </w:p>
    <w:p w14:paraId="2589F46A" w14:textId="5DA22340" w:rsidR="00662002" w:rsidRPr="005D0EBE" w:rsidRDefault="00662002" w:rsidP="00662002">
      <w:pPr>
        <w:spacing w:after="120" w:line="360" w:lineRule="auto"/>
        <w:jc w:val="both"/>
        <w:rPr>
          <w:rFonts w:ascii="Times New Roman" w:hAnsi="Times New Roman" w:cs="Times New Roman"/>
          <w:color w:val="000000" w:themeColor="text1"/>
          <w:sz w:val="24"/>
          <w:szCs w:val="24"/>
        </w:rPr>
      </w:pPr>
      <w:r w:rsidRPr="005D0EBE">
        <w:rPr>
          <w:rFonts w:ascii="Times New Roman" w:hAnsi="Times New Roman" w:cs="Times New Roman"/>
          <w:color w:val="000000" w:themeColor="text1"/>
          <w:sz w:val="24"/>
          <w:szCs w:val="24"/>
        </w:rPr>
        <w:t xml:space="preserve">Nghiên cứu của T. El Gnaoui </w:t>
      </w:r>
      <w:r w:rsidR="000D733B" w:rsidRPr="005D0EBE">
        <w:rPr>
          <w:rFonts w:ascii="Times New Roman" w:hAnsi="Times New Roman" w:cs="Times New Roman"/>
          <w:color w:val="000000" w:themeColor="text1"/>
          <w:sz w:val="24"/>
          <w:szCs w:val="24"/>
        </w:rPr>
        <w:t xml:space="preserve">(2007) </w:t>
      </w:r>
      <w:r w:rsidRPr="005D0EBE">
        <w:rPr>
          <w:rFonts w:ascii="Times New Roman" w:hAnsi="Times New Roman" w:cs="Times New Roman"/>
          <w:color w:val="000000" w:themeColor="text1"/>
          <w:sz w:val="24"/>
          <w:szCs w:val="24"/>
        </w:rPr>
        <w:t xml:space="preserve">trên 46 bệnh nhân u lympho tế bào B tái phát/kháng trị cho kết quả tuổi trung bình 64, tỉ lệ nam/nữ=2 </w:t>
      </w:r>
      <w:hyperlink w:anchor="_ENREF_3" w:tooltip="T. El Gnaoui, 2007 #1"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&lt;EndNote&gt;&lt;Cite&gt;&lt;Author&gt;T. El Gnaoui&lt;/Author&gt;&lt;Year&gt;2007&lt;/Year&gt;&lt;RecNum&gt;1&lt;/RecNum&gt;&lt;DisplayText&gt;&lt;style face="superscript"&gt;3&lt;/style&gt;&lt;/DisplayText&gt;&lt;record&gt;&lt;rec-number&gt;1&lt;/rec-number&gt;&lt;foreign-keys&gt;&lt;key app="EN" db-id="55rp0zaau99stpeffsnx2ez1sxatx5axz59z" timestamp="1645962276"&gt;1&lt;/key&gt;&lt;/foreign-keys&gt;&lt;ref-type name="Journal Article"&gt;17&lt;/ref-type&gt;&lt;contributors&gt;&lt;authors&gt;&lt;author&gt;T. El Gnaoui, &lt;/author&gt;&lt;author&gt;J. Dupuis, &lt;/author&gt;&lt;author&gt;K. Belhadj et al.,&lt;/author&gt;&lt;/authors&gt;&lt;/contributors&gt;&lt;titles&gt;&lt;title&gt;Rituximab, gemcitabine and oxaliplatin: an effective salvage regimen for patients with relapsed or refractory B-cell lymphoma not candidates for high-dose therapy&lt;/title&gt;&lt;secondary-title&gt;Annals of Oncology&lt;/secondary-title&gt;&lt;/titles&gt;&lt;periodical&gt;&lt;full-title&gt;Annals of Oncology&lt;/full-title&gt;&lt;/periodical&gt;&lt;pages&gt;1363–1368&lt;/pages&gt;&lt;dates&gt;&lt;year&gt;2007&lt;/year&gt;&lt;/dates&gt;&lt;urls&gt;&lt;/urls&gt;&lt;/record&gt;&lt;/Cite&gt;&lt;/EndNote&gt;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3</w:t>
        </w:r>
        <w:r w:rsidR="00355E48" w:rsidRPr="005D0EBE">
          <w:rPr>
            <w:rFonts w:ascii="Times New Roman" w:hAnsi="Times New Roman" w:cs="Times New Roman"/>
            <w:color w:val="000000" w:themeColor="text1"/>
            <w:sz w:val="24"/>
            <w:szCs w:val="24"/>
          </w:rPr>
          <w:fldChar w:fldCharType="end"/>
        </w:r>
      </w:hyperlink>
      <w:r w:rsidRPr="005D0EBE">
        <w:rPr>
          <w:rFonts w:ascii="Times New Roman" w:hAnsi="Times New Roman" w:cs="Times New Roman"/>
          <w:color w:val="000000" w:themeColor="text1"/>
          <w:sz w:val="24"/>
          <w:szCs w:val="24"/>
        </w:rPr>
        <w:t>. Nghiên cứu của Clarisse Cazelles</w:t>
      </w:r>
      <w:r w:rsidR="000D733B" w:rsidRPr="005D0EBE">
        <w:rPr>
          <w:rFonts w:ascii="Times New Roman" w:hAnsi="Times New Roman" w:cs="Times New Roman"/>
          <w:color w:val="000000" w:themeColor="text1"/>
          <w:sz w:val="24"/>
          <w:szCs w:val="24"/>
        </w:rPr>
        <w:t xml:space="preserve"> (2021)</w:t>
      </w:r>
      <w:r w:rsidRPr="005D0EBE">
        <w:rPr>
          <w:rFonts w:ascii="Times New Roman" w:hAnsi="Times New Roman" w:cs="Times New Roman"/>
          <w:color w:val="000000" w:themeColor="text1"/>
          <w:sz w:val="24"/>
          <w:szCs w:val="24"/>
        </w:rPr>
        <w:t xml:space="preserve"> tiến hành </w:t>
      </w:r>
      <w:r w:rsidRPr="005D0EBE">
        <w:rPr>
          <w:rFonts w:ascii="Times New Roman" w:hAnsi="Times New Roman" w:cs="Times New Roman"/>
          <w:color w:val="000000" w:themeColor="text1"/>
          <w:sz w:val="24"/>
          <w:szCs w:val="24"/>
        </w:rPr>
        <w:lastRenderedPageBreak/>
        <w:t xml:space="preserve">trên 196 bệnh nhân u lympho tế bào B lớn lan tỏa tái phát/ kháng trị cho kết quả tuổi trung bình 72, tỉ lệ nam/nữ = 1,2 </w:t>
      </w:r>
      <w:hyperlink w:anchor="_ENREF_6" w:tooltip="Clarisse Cazelles, 2021 #14"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&lt;EndNote&gt;&lt;Cite&gt;&lt;Author&gt;Clarisse Cazelles&lt;/Author&gt;&lt;Year&gt;2021&lt;/Year&gt;&lt;RecNum&gt;14&lt;/RecNum&gt;&lt;DisplayText&gt;&lt;style face="superscript"&gt;6&lt;/style&gt;&lt;/DisplayText&gt;&lt;record&gt;&lt;rec-number&gt;14&lt;/rec-number&gt;&lt;foreign-keys&gt;&lt;key app="EN" db-id="55rp0zaau99stpeffsnx2ez1sxatx5axz59z" timestamp="1645963762"&gt;14&lt;/key&gt;&lt;/foreign-keys&gt;&lt;ref-type name="Journal Article"&gt;17&lt;/ref-type&gt;&lt;contributors&gt;&lt;authors&gt;&lt;author&gt;Clarisse Cazelles, &lt;/author&gt;&lt;author&gt;Karim Belhadj, &lt;/author&gt;&lt;author&gt;Hélène Vellemans et al.,&lt;/author&gt;&lt;/authors&gt;&lt;/contributors&gt;&lt;titles&gt;&lt;title&gt;Rituximab plus gemcitabine and oxaliplatin (R-GemOx) in refractory/relapsed diffuse large B-cell lymphoma: a real-life study in patients ineligible for autologous stem-cell transplantation&lt;/title&gt;&lt;secondary-title&gt;Leuk Lymphoma&lt;/secondary-title&gt;&lt;/titles&gt;&lt;periodical&gt;&lt;full-title&gt;Leuk Lymphoma&lt;/full-title&gt;&lt;/periodical&gt;&lt;pages&gt;2161-2168&lt;/pages&gt;&lt;volume&gt;62&lt;/volume&gt;&lt;num-vols&gt;9&lt;/num-vols&gt;&lt;dates&gt;&lt;year&gt;2021&lt;/year&gt;&lt;/dates&gt;&lt;urls&gt;&lt;/urls&gt;&lt;/record&gt;&lt;/Cite&gt;&lt;/EndNote&gt;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6</w:t>
        </w:r>
        <w:r w:rsidR="00355E48" w:rsidRPr="005D0EBE">
          <w:rPr>
            <w:rFonts w:ascii="Times New Roman" w:hAnsi="Times New Roman" w:cs="Times New Roman"/>
            <w:color w:val="000000" w:themeColor="text1"/>
            <w:sz w:val="24"/>
            <w:szCs w:val="24"/>
          </w:rPr>
          <w:fldChar w:fldCharType="end"/>
        </w:r>
      </w:hyperlink>
      <w:r w:rsidRPr="005D0EBE">
        <w:rPr>
          <w:rFonts w:ascii="Times New Roman" w:hAnsi="Times New Roman" w:cs="Times New Roman"/>
          <w:color w:val="000000" w:themeColor="text1"/>
          <w:sz w:val="24"/>
          <w:szCs w:val="24"/>
        </w:rPr>
        <w:t>.</w:t>
      </w:r>
    </w:p>
    <w:p w14:paraId="38724380" w14:textId="77777777" w:rsidR="00662002" w:rsidRPr="005D0EBE" w:rsidRDefault="00662002" w:rsidP="00662002">
      <w:pPr>
        <w:pStyle w:val="Heading2"/>
        <w:rPr>
          <w:rFonts w:ascii="Times New Roman" w:hAnsi="Times New Roman" w:cs="Times New Roman"/>
          <w:b/>
          <w:color w:val="000000" w:themeColor="text1"/>
          <w:sz w:val="24"/>
          <w:szCs w:val="24"/>
        </w:rPr>
      </w:pPr>
      <w:bookmarkStart w:id="8" w:name="_Toc120815820"/>
      <w:r w:rsidRPr="005D0EBE">
        <w:rPr>
          <w:rFonts w:ascii="Times New Roman" w:hAnsi="Times New Roman" w:cs="Times New Roman"/>
          <w:b/>
          <w:color w:val="000000" w:themeColor="text1"/>
          <w:sz w:val="24"/>
          <w:szCs w:val="24"/>
        </w:rPr>
        <w:t>4.2. Lâm sàng</w:t>
      </w:r>
      <w:bookmarkEnd w:id="8"/>
    </w:p>
    <w:p w14:paraId="129459CC" w14:textId="77777777" w:rsidR="00662002" w:rsidRPr="005D0EBE" w:rsidRDefault="00662002" w:rsidP="00A87709">
      <w:pPr>
        <w:spacing w:after="0" w:line="360" w:lineRule="auto"/>
        <w:jc w:val="both"/>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Thể trạng chung và hội chứng B</w:t>
      </w:r>
    </w:p>
    <w:p w14:paraId="6045A7D9" w14:textId="188ABED1" w:rsidR="00662002" w:rsidRPr="005D0EBE" w:rsidRDefault="00662002" w:rsidP="00662002">
      <w:pPr>
        <w:spacing w:after="120" w:line="360" w:lineRule="auto"/>
        <w:jc w:val="both"/>
        <w:rPr>
          <w:rFonts w:ascii="Times New Roman" w:hAnsi="Times New Roman" w:cs="Times New Roman"/>
          <w:color w:val="000000" w:themeColor="text1"/>
          <w:sz w:val="24"/>
          <w:szCs w:val="24"/>
        </w:rPr>
      </w:pPr>
      <w:r w:rsidRPr="005D0EBE">
        <w:rPr>
          <w:rFonts w:ascii="Times New Roman" w:hAnsi="Times New Roman" w:cs="Times New Roman"/>
          <w:color w:val="000000" w:themeColor="text1"/>
          <w:sz w:val="24"/>
          <w:szCs w:val="24"/>
        </w:rPr>
        <w:t xml:space="preserve">Tại thời điểm vào viện đa số bệnh nhân có PS=1 chiếm </w:t>
      </w:r>
      <w:r w:rsidR="00D17B2C">
        <w:rPr>
          <w:rFonts w:ascii="Times New Roman" w:hAnsi="Times New Roman" w:cs="Times New Roman"/>
          <w:color w:val="000000" w:themeColor="text1"/>
          <w:sz w:val="24"/>
          <w:szCs w:val="24"/>
        </w:rPr>
        <w:t>45,8</w:t>
      </w:r>
      <w:r w:rsidRPr="005D0EBE">
        <w:rPr>
          <w:rFonts w:ascii="Times New Roman" w:hAnsi="Times New Roman" w:cs="Times New Roman"/>
          <w:color w:val="000000" w:themeColor="text1"/>
          <w:sz w:val="24"/>
          <w:szCs w:val="24"/>
        </w:rPr>
        <w:t xml:space="preserve">%. Tỉ lệ gặp hội chứng B chiếm </w:t>
      </w:r>
      <w:r w:rsidR="00D17B2C">
        <w:rPr>
          <w:rFonts w:ascii="Times New Roman" w:hAnsi="Times New Roman" w:cs="Times New Roman"/>
          <w:color w:val="000000" w:themeColor="text1"/>
          <w:sz w:val="24"/>
          <w:szCs w:val="24"/>
        </w:rPr>
        <w:t>19,3</w:t>
      </w:r>
      <w:r w:rsidRPr="005D0EBE">
        <w:rPr>
          <w:rFonts w:ascii="Times New Roman" w:hAnsi="Times New Roman" w:cs="Times New Roman"/>
          <w:color w:val="000000" w:themeColor="text1"/>
          <w:sz w:val="24"/>
          <w:szCs w:val="24"/>
        </w:rPr>
        <w:t xml:space="preserve">%. Nghiên cứu của T. El Gnaoui </w:t>
      </w:r>
      <w:r w:rsidR="000D733B" w:rsidRPr="005D0EBE">
        <w:rPr>
          <w:rFonts w:ascii="Times New Roman" w:hAnsi="Times New Roman" w:cs="Times New Roman"/>
          <w:color w:val="000000" w:themeColor="text1"/>
          <w:sz w:val="24"/>
          <w:szCs w:val="24"/>
        </w:rPr>
        <w:t xml:space="preserve">(2007) </w:t>
      </w:r>
      <w:r w:rsidRPr="005D0EBE">
        <w:rPr>
          <w:rFonts w:ascii="Times New Roman" w:hAnsi="Times New Roman" w:cs="Times New Roman"/>
          <w:color w:val="000000" w:themeColor="text1"/>
          <w:sz w:val="24"/>
          <w:szCs w:val="24"/>
        </w:rPr>
        <w:t xml:space="preserve">cho kết quả tỉ lệ PS 0-1 chiếm 67%; PS &gt; 2 chiếm 33% </w:t>
      </w:r>
      <w:hyperlink w:anchor="_ENREF_3" w:tooltip="T. El Gnaoui, 2007 #1"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&lt;EndNote&gt;&lt;Cite&gt;&lt;Author&gt;T. El Gnaoui&lt;/Author&gt;&lt;Year&gt;2007&lt;/Year&gt;&lt;RecNum&gt;1&lt;/RecNum&gt;&lt;DisplayText&gt;&lt;style face="superscript"&gt;3&lt;/style&gt;&lt;/DisplayText&gt;&lt;record&gt;&lt;rec-number&gt;1&lt;/rec-number&gt;&lt;foreign-keys&gt;&lt;key app="EN" db-id="55rp0zaau99stpeffsnx2ez1sxatx5axz59z" timestamp="1645962276"&gt;1&lt;/key&gt;&lt;/foreign-keys&gt;&lt;ref-type name="Journal Article"&gt;17&lt;/ref-type&gt;&lt;contributors&gt;&lt;authors&gt;&lt;author&gt;T. El Gnaoui, &lt;/author&gt;&lt;author&gt;J. Dupuis, &lt;/author&gt;&lt;author&gt;K. Belhadj et al.,&lt;/author&gt;&lt;/authors&gt;&lt;/contributors&gt;&lt;titles&gt;&lt;title&gt;Rituximab, gemcitabine and oxaliplatin: an effective salvage regimen for patients with relapsed or refractory B-cell lymphoma not candidates for high-dose therapy&lt;/title&gt;&lt;secondary-title&gt;Annals of Oncology&lt;/secondary-title&gt;&lt;/titles&gt;&lt;periodical&gt;&lt;full-title&gt;Annals of Oncology&lt;/full-title&gt;&lt;/periodical&gt;&lt;pages&gt;1363–1368&lt;/pages&gt;&lt;dates&gt;&lt;year&gt;2007&lt;/year&gt;&lt;/dates&gt;&lt;urls&gt;&lt;/urls&gt;&lt;/record&gt;&lt;/Cite&gt;&lt;/EndNote&gt;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3</w:t>
        </w:r>
        <w:r w:rsidR="00355E48" w:rsidRPr="005D0EBE">
          <w:rPr>
            <w:rFonts w:ascii="Times New Roman" w:hAnsi="Times New Roman" w:cs="Times New Roman"/>
            <w:color w:val="000000" w:themeColor="text1"/>
            <w:sz w:val="24"/>
            <w:szCs w:val="24"/>
          </w:rPr>
          <w:fldChar w:fldCharType="end"/>
        </w:r>
      </w:hyperlink>
      <w:r w:rsidRPr="005D0EBE">
        <w:rPr>
          <w:rFonts w:ascii="Times New Roman" w:hAnsi="Times New Roman" w:cs="Times New Roman"/>
          <w:color w:val="000000" w:themeColor="text1"/>
          <w:sz w:val="24"/>
          <w:szCs w:val="24"/>
        </w:rPr>
        <w:t xml:space="preserve">. Nghiên cứu của Clarisse Cazelles </w:t>
      </w:r>
      <w:r w:rsidR="000D733B" w:rsidRPr="005D0EBE">
        <w:rPr>
          <w:rFonts w:ascii="Times New Roman" w:hAnsi="Times New Roman" w:cs="Times New Roman"/>
          <w:color w:val="000000" w:themeColor="text1"/>
          <w:sz w:val="24"/>
          <w:szCs w:val="24"/>
        </w:rPr>
        <w:t xml:space="preserve">(2021) </w:t>
      </w:r>
      <w:r w:rsidRPr="005D0EBE">
        <w:rPr>
          <w:rFonts w:ascii="Times New Roman" w:hAnsi="Times New Roman" w:cs="Times New Roman"/>
          <w:color w:val="000000" w:themeColor="text1"/>
          <w:sz w:val="24"/>
          <w:szCs w:val="24"/>
        </w:rPr>
        <w:t xml:space="preserve">cho kết quả tỉ lệ bệnh nhân có PS 0-1 chiếm 66% và bệnh nhân PS ≥ 2 chiếm 34% </w:t>
      </w:r>
      <w:hyperlink w:anchor="_ENREF_6" w:tooltip="Clarisse Cazelles, 2021 #14"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&lt;EndNote&gt;&lt;Cite&gt;&lt;Author&gt;Clarisse Cazelles&lt;/Author&gt;&lt;Year&gt;2021&lt;/Year&gt;&lt;RecNum&gt;14&lt;/RecNum&gt;&lt;DisplayText&gt;&lt;style face="superscript"&gt;6&lt;/style&gt;&lt;/DisplayText&gt;&lt;record&gt;&lt;rec-number&gt;14&lt;/rec-number&gt;&lt;foreign-keys&gt;&lt;key app="EN" db-id="55rp0zaau99stpeffsnx2ez1sxatx5axz59z" timestamp="1645963762"&gt;14&lt;/key&gt;&lt;/foreign-keys&gt;&lt;ref-type name="Journal Article"&gt;17&lt;/ref-type&gt;&lt;contributors&gt;&lt;authors&gt;&lt;author&gt;Clarisse Cazelles, &lt;/author&gt;&lt;author&gt;Karim Belhadj, &lt;/author&gt;&lt;author&gt;Hélène Vellemans et al.,&lt;/author&gt;&lt;/authors&gt;&lt;/contributors&gt;&lt;titles&gt;&lt;title&gt;Rituximab plus gemcitabine and oxaliplatin (R-GemOx) in refractory/relapsed diffuse large B-cell lymphoma: a real-life study in patients ineligible for autologous stem-cell transplantation&lt;/title&gt;&lt;secondary-title&gt;Leuk Lymphoma&lt;/secondary-title&gt;&lt;/titles&gt;&lt;periodical&gt;&lt;full-title&gt;Leuk Lymphoma&lt;/full-title&gt;&lt;/periodical&gt;&lt;pages&gt;2161-2168&lt;/pages&gt;&lt;volume&gt;62&lt;/volume&gt;&lt;num-vols&gt;9&lt;/num-vols&gt;&lt;dates&gt;&lt;year&gt;2021&lt;/year&gt;&lt;/dates&gt;&lt;urls&gt;&lt;/urls&gt;&lt;/record&gt;&lt;/Cite&gt;&lt;/EndNote&gt;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6</w:t>
        </w:r>
        <w:r w:rsidR="00355E48" w:rsidRPr="005D0EBE">
          <w:rPr>
            <w:rFonts w:ascii="Times New Roman" w:hAnsi="Times New Roman" w:cs="Times New Roman"/>
            <w:color w:val="000000" w:themeColor="text1"/>
            <w:sz w:val="24"/>
            <w:szCs w:val="24"/>
          </w:rPr>
          <w:fldChar w:fldCharType="end"/>
        </w:r>
      </w:hyperlink>
      <w:r w:rsidRPr="005D0EBE">
        <w:rPr>
          <w:rFonts w:ascii="Times New Roman" w:hAnsi="Times New Roman" w:cs="Times New Roman"/>
          <w:color w:val="000000" w:themeColor="text1"/>
          <w:sz w:val="24"/>
          <w:szCs w:val="24"/>
        </w:rPr>
        <w:t xml:space="preserve">. </w:t>
      </w:r>
    </w:p>
    <w:p w14:paraId="56FE3522" w14:textId="76980C6D" w:rsidR="007F0936" w:rsidRPr="007F0936" w:rsidRDefault="007F0936" w:rsidP="003229E7">
      <w:pPr>
        <w:spacing w:after="0" w:line="360" w:lineRule="auto"/>
        <w:jc w:val="both"/>
        <w:rPr>
          <w:rFonts w:ascii="Times New Roman" w:hAnsi="Times New Roman" w:cs="Times New Roman"/>
          <w:b/>
          <w:bCs/>
          <w:color w:val="000000" w:themeColor="text1"/>
          <w:sz w:val="24"/>
          <w:szCs w:val="24"/>
        </w:rPr>
      </w:pPr>
      <w:r w:rsidRPr="007F0936">
        <w:rPr>
          <w:rFonts w:ascii="Times New Roman" w:hAnsi="Times New Roman" w:cs="Times New Roman"/>
          <w:b/>
          <w:bCs/>
          <w:color w:val="000000" w:themeColor="text1"/>
          <w:sz w:val="24"/>
          <w:szCs w:val="24"/>
        </w:rPr>
        <w:t>4.3. Tỉ lệ đáp ứng</w:t>
      </w:r>
    </w:p>
    <w:p w14:paraId="434410A7" w14:textId="1192DED6" w:rsidR="00662002" w:rsidRPr="00530510" w:rsidRDefault="00662002" w:rsidP="00530510">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i/>
          <w:color w:val="000000"/>
          <w:sz w:val="24"/>
          <w:szCs w:val="24"/>
        </w:rPr>
      </w:pPr>
      <w:r w:rsidRPr="005D0EBE">
        <w:rPr>
          <w:rFonts w:ascii="Times New Roman" w:hAnsi="Times New Roman" w:cs="Times New Roman"/>
          <w:color w:val="000000" w:themeColor="text1"/>
          <w:sz w:val="24"/>
          <w:szCs w:val="24"/>
        </w:rPr>
        <w:t xml:space="preserve">Nghiên cứu của chúng tôi thấy </w:t>
      </w:r>
      <w:r w:rsidR="00530510" w:rsidRPr="005D0EBE">
        <w:rPr>
          <w:rFonts w:ascii="Times New Roman" w:eastAsia="Times New Roman" w:hAnsi="Times New Roman" w:cs="Times New Roman"/>
          <w:color w:val="000000"/>
          <w:sz w:val="24"/>
          <w:szCs w:val="24"/>
        </w:rPr>
        <w:t>Sau 3 chu kỳ có 13 bệnh nhân đáp ứng hoàn toàn chiếm 15,7%, đáp ứng một phần là 65,1%. Có 13 bệnh nhân tiến triển, và 3 bệnh nhân không đáp ứng chiếm tổng cộng 19,3%.</w:t>
      </w:r>
      <w:r w:rsidR="00530510" w:rsidRPr="005D0EBE">
        <w:rPr>
          <w:rFonts w:ascii="Times New Roman" w:eastAsia="Times New Roman" w:hAnsi="Times New Roman" w:cs="Times New Roman"/>
          <w:i/>
          <w:color w:val="000000"/>
          <w:sz w:val="24"/>
          <w:szCs w:val="24"/>
        </w:rPr>
        <w:t xml:space="preserve"> </w:t>
      </w:r>
      <w:r w:rsidR="00530510" w:rsidRPr="005D0EBE">
        <w:rPr>
          <w:rFonts w:ascii="Times New Roman" w:eastAsia="Times New Roman" w:hAnsi="Times New Roman" w:cs="Times New Roman"/>
          <w:color w:val="000000"/>
          <w:sz w:val="24"/>
          <w:szCs w:val="24"/>
        </w:rPr>
        <w:t>Sau 6 chu kì tỉ lệ đáp ứng hoàn toàn đạt 20,5%; đáp ứng một phần đạt 31,3%</w:t>
      </w:r>
      <w:r w:rsidR="00530510">
        <w:rPr>
          <w:rFonts w:ascii="Times New Roman" w:eastAsia="Times New Roman" w:hAnsi="Times New Roman" w:cs="Times New Roman"/>
          <w:color w:val="000000"/>
          <w:sz w:val="24"/>
          <w:szCs w:val="24"/>
        </w:rPr>
        <w:t>; 4,8% bệnh giữ nguyên</w:t>
      </w:r>
      <w:r w:rsidR="00530510" w:rsidRPr="005D0EBE">
        <w:rPr>
          <w:rFonts w:ascii="Times New Roman" w:eastAsia="Times New Roman" w:hAnsi="Times New Roman" w:cs="Times New Roman"/>
          <w:color w:val="000000"/>
          <w:sz w:val="24"/>
          <w:szCs w:val="24"/>
        </w:rPr>
        <w:t xml:space="preserve"> và có 43,4% bệnh nhân tiến triển</w:t>
      </w:r>
      <w:r w:rsidRPr="005D0EBE">
        <w:rPr>
          <w:rFonts w:ascii="Times New Roman" w:hAnsi="Times New Roman" w:cs="Times New Roman"/>
          <w:color w:val="000000" w:themeColor="text1"/>
          <w:sz w:val="24"/>
          <w:szCs w:val="24"/>
        </w:rPr>
        <w:t>.</w:t>
      </w:r>
      <w:r w:rsidRPr="005D0EBE">
        <w:rPr>
          <w:rFonts w:ascii="Times New Roman" w:hAnsi="Times New Roman" w:cs="Times New Roman"/>
          <w:b/>
          <w:color w:val="000000" w:themeColor="text1"/>
          <w:sz w:val="24"/>
          <w:szCs w:val="24"/>
        </w:rPr>
        <w:t xml:space="preserve"> </w:t>
      </w:r>
      <w:r w:rsidR="00530510" w:rsidRPr="005D0EBE">
        <w:rPr>
          <w:rFonts w:ascii="Times New Roman" w:hAnsi="Times New Roman" w:cs="Times New Roman"/>
          <w:color w:val="000000" w:themeColor="text1"/>
          <w:sz w:val="24"/>
          <w:szCs w:val="24"/>
        </w:rPr>
        <w:t xml:space="preserve">Nghiên cứu của Clarisse Cazelles (2021) cho kết quả tỉ lệ đáp ứng giữa kì đạt 54% và đáp ứng hoàn toàn đạt 23%. Tỉ lệ đáp ứng cuối kì đạt 38% và tỉ lệ đáp ứng hoàn toàn đạt 33% </w:t>
      </w:r>
      <w:hyperlink w:anchor="_ENREF_6" w:tooltip="Clarisse Cazelles, 2021 #14"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&lt;EndNote&gt;&lt;Cite&gt;&lt;Author&gt;Clarisse Cazelles&lt;/Author&gt;&lt;Year&gt;2021&lt;/Year&gt;&lt;RecNum&gt;14&lt;/RecNum&gt;&lt;DisplayText&gt;&lt;style face="superscript"&gt;6&lt;/style&gt;&lt;/DisplayText&gt;&lt;record&gt;&lt;rec-number&gt;14&lt;/rec-number&gt;&lt;foreign-keys&gt;&lt;key app="EN" db-id="55rp0zaau99stpeffsnx2ez1sxatx5axz59z" timestamp="1645963762"&gt;14&lt;/key&gt;&lt;/foreign-keys&gt;&lt;ref-type name="Journal Article"&gt;17&lt;/ref-type&gt;&lt;contributors&gt;&lt;authors&gt;&lt;author&gt;Clarisse Cazelles, &lt;/author&gt;&lt;author&gt;Karim Belhadj, &lt;/author&gt;&lt;author&gt;Hélène Vellemans et al.,&lt;/author&gt;&lt;/authors&gt;&lt;/contributors&gt;&lt;titles&gt;&lt;title&gt;Rituximab plus gemcitabine and oxaliplatin (R-GemOx) in refractory/relapsed diffuse large B-cell lymphoma: a real-life study in patients ineligible for autologous stem-cell transplantation&lt;/title&gt;&lt;secondary-title&gt;Leuk Lymphoma&lt;/secondary-title&gt;&lt;/titles&gt;&lt;periodical&gt;&lt;full-title&gt;Leuk Lymphoma&lt;/full-title&gt;&lt;/periodical&gt;&lt;pages&gt;2161-2168&lt;/pages&gt;&lt;volume&gt;62&lt;/volume&gt;&lt;num-vols&gt;9&lt;/num-vols&gt;&lt;dates&gt;&lt;year&gt;2021&lt;/year&gt;&lt;/dates&gt;&lt;urls&gt;&lt;/urls&gt;&lt;/record&gt;&lt;/Cite&gt;&lt;/EndNote&gt;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6</w:t>
        </w:r>
        <w:r w:rsidR="00355E48" w:rsidRPr="005D0EBE">
          <w:rPr>
            <w:rFonts w:ascii="Times New Roman" w:hAnsi="Times New Roman" w:cs="Times New Roman"/>
            <w:color w:val="000000" w:themeColor="text1"/>
            <w:sz w:val="24"/>
            <w:szCs w:val="24"/>
          </w:rPr>
          <w:fldChar w:fldCharType="end"/>
        </w:r>
      </w:hyperlink>
      <w:r w:rsidR="00530510" w:rsidRPr="005D0EBE">
        <w:rPr>
          <w:rFonts w:ascii="Times New Roman" w:hAnsi="Times New Roman" w:cs="Times New Roman"/>
          <w:color w:val="000000" w:themeColor="text1"/>
          <w:sz w:val="24"/>
          <w:szCs w:val="24"/>
        </w:rPr>
        <w:t xml:space="preserve">. </w:t>
      </w:r>
      <w:r w:rsidRPr="005D0EBE">
        <w:rPr>
          <w:rFonts w:ascii="Times New Roman" w:hAnsi="Times New Roman" w:cs="Times New Roman"/>
          <w:color w:val="000000" w:themeColor="text1"/>
          <w:sz w:val="24"/>
          <w:szCs w:val="24"/>
        </w:rPr>
        <w:t xml:space="preserve">Nghiên cứu của T. El Gnaoui </w:t>
      </w:r>
      <w:r w:rsidR="000D733B" w:rsidRPr="005D0EBE">
        <w:rPr>
          <w:rFonts w:ascii="Times New Roman" w:hAnsi="Times New Roman" w:cs="Times New Roman"/>
          <w:color w:val="000000" w:themeColor="text1"/>
          <w:sz w:val="24"/>
          <w:szCs w:val="24"/>
        </w:rPr>
        <w:t xml:space="preserve">(2007) </w:t>
      </w:r>
      <w:r w:rsidRPr="005D0EBE">
        <w:rPr>
          <w:rFonts w:ascii="Times New Roman" w:hAnsi="Times New Roman" w:cs="Times New Roman"/>
          <w:color w:val="000000" w:themeColor="text1"/>
          <w:sz w:val="24"/>
          <w:szCs w:val="24"/>
        </w:rPr>
        <w:t xml:space="preserve">cho kết quả tỉ lệ đáp ứng hoàn toàn là 50%; tỉ lệ đáp ứng một phần là 33%; tỉ lệ bệnh tiến triển là 17% </w:t>
      </w:r>
      <w:hyperlink w:anchor="_ENREF_3" w:tooltip="T. El Gnaoui, 2007 #1"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&lt;EndNote&gt;&lt;Cite&gt;&lt;Author&gt;T. El Gnaoui&lt;/Author&gt;&lt;Year&gt;2007&lt;/Year&gt;&lt;RecNum&gt;1&lt;/RecNum&gt;&lt;DisplayText&gt;&lt;style face="superscript"&gt;3&lt;/style&gt;&lt;/DisplayText&gt;&lt;record&gt;&lt;rec-number&gt;1&lt;/rec-number&gt;&lt;foreign-keys&gt;&lt;key app="EN" db-id="55rp0zaau99stpeffsnx2ez1sxatx5axz59z" timestamp="1645962276"&gt;1&lt;/key&gt;&lt;/foreign-keys&gt;&lt;ref-type name="Journal Article"&gt;17&lt;/ref-type&gt;&lt;contributors&gt;&lt;authors&gt;&lt;author&gt;T. El Gnaoui, &lt;/author&gt;&lt;author&gt;J. Dupuis, &lt;/author&gt;&lt;author&gt;K. Belhadj et al.,&lt;/author&gt;&lt;/authors&gt;&lt;/contributors&gt;&lt;titles&gt;&lt;title&gt;Rituximab, gemcitabine and oxaliplatin: an effective salvage regimen for patients with relapsed or refractory B-cell lymphoma not candidates for high-dose therapy&lt;/title&gt;&lt;secondary-title&gt;Annals of Oncology&lt;/secondary-title&gt;&lt;/titles&gt;&lt;periodical&gt;&lt;full-title&gt;Annals of Oncology&lt;/full-title&gt;&lt;/periodical&gt;&lt;pages&gt;1363–1368&lt;/pages&gt;&lt;dates&gt;&lt;year&gt;2007&lt;/year&gt;&lt;/dates&gt;&lt;urls&gt;&lt;/urls&gt;&lt;/record&gt;&lt;/Cite&gt;&lt;/EndNote&gt;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3</w:t>
        </w:r>
        <w:r w:rsidR="00355E48" w:rsidRPr="005D0EBE">
          <w:rPr>
            <w:rFonts w:ascii="Times New Roman" w:hAnsi="Times New Roman" w:cs="Times New Roman"/>
            <w:color w:val="000000" w:themeColor="text1"/>
            <w:sz w:val="24"/>
            <w:szCs w:val="24"/>
          </w:rPr>
          <w:fldChar w:fldCharType="end"/>
        </w:r>
      </w:hyperlink>
      <w:r w:rsidRPr="005D0EBE">
        <w:rPr>
          <w:rFonts w:ascii="Times New Roman" w:hAnsi="Times New Roman" w:cs="Times New Roman"/>
          <w:color w:val="000000" w:themeColor="text1"/>
          <w:sz w:val="24"/>
          <w:szCs w:val="24"/>
        </w:rPr>
        <w:t>.</w:t>
      </w:r>
      <w:r w:rsidR="004C2069" w:rsidRPr="005D0EBE">
        <w:rPr>
          <w:rFonts w:ascii="Times New Roman" w:hAnsi="Times New Roman" w:cs="Times New Roman"/>
          <w:color w:val="000000" w:themeColor="text1"/>
          <w:sz w:val="24"/>
          <w:szCs w:val="24"/>
        </w:rPr>
        <w:t xml:space="preserve"> </w:t>
      </w:r>
      <w:r w:rsidRPr="005D0EBE">
        <w:rPr>
          <w:rFonts w:ascii="Times New Roman" w:hAnsi="Times New Roman" w:cs="Times New Roman"/>
          <w:color w:val="000000" w:themeColor="text1"/>
          <w:sz w:val="24"/>
          <w:szCs w:val="24"/>
        </w:rPr>
        <w:t>Như vậy tỉ lệ đáp ứng trong nghiên cứu của chúng tôi cao hơn nghiên cứu của Clarisse Cazelles có thể là do đa số các bệnh nhân được dùng phác đồ RGEMOX ở line 2 trong khi ở nghiên cứu của tác giả này các bệnh nhân đã trải qua nhiều phác đồ hơn trước khi tiến tới dùng RGEMOX.</w:t>
      </w:r>
    </w:p>
    <w:p w14:paraId="29D72642" w14:textId="35ABCD91" w:rsidR="00662002" w:rsidRPr="005D0EBE" w:rsidRDefault="007F0936" w:rsidP="003D3C04">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4.4.</w:t>
      </w:r>
      <w:r w:rsidR="00662002" w:rsidRPr="005D0EBE">
        <w:rPr>
          <w:rFonts w:ascii="Times New Roman" w:hAnsi="Times New Roman" w:cs="Times New Roman"/>
          <w:b/>
          <w:color w:val="000000" w:themeColor="text1"/>
          <w:sz w:val="24"/>
          <w:szCs w:val="24"/>
        </w:rPr>
        <w:t xml:space="preserve"> Thời gian sống thêm toàn bộ và thời gian sống thêm không bệnh tiến triển</w:t>
      </w:r>
      <w:r>
        <w:rPr>
          <w:rFonts w:ascii="Times New Roman" w:hAnsi="Times New Roman" w:cs="Times New Roman"/>
          <w:b/>
          <w:color w:val="000000" w:themeColor="text1"/>
          <w:sz w:val="24"/>
          <w:szCs w:val="24"/>
        </w:rPr>
        <w:t xml:space="preserve"> và các yếu tố liên quan</w:t>
      </w:r>
    </w:p>
    <w:p w14:paraId="1C9B52EE" w14:textId="56F36202" w:rsidR="003D3C04" w:rsidRPr="00EE519F" w:rsidRDefault="006B179B" w:rsidP="003D3C04">
      <w:pPr>
        <w:spacing w:after="0" w:line="360" w:lineRule="auto"/>
        <w:jc w:val="both"/>
        <w:rPr>
          <w:rFonts w:ascii="Times New Roman" w:eastAsia="Times New Roman" w:hAnsi="Times New Roman" w:cs="Times New Roman"/>
          <w:iCs/>
          <w:sz w:val="24"/>
          <w:szCs w:val="24"/>
        </w:rPr>
      </w:pPr>
      <w:r w:rsidRPr="005D0EBE">
        <w:rPr>
          <w:rFonts w:ascii="Times New Roman" w:hAnsi="Times New Roman" w:cs="Times New Roman"/>
          <w:color w:val="000000" w:themeColor="text1"/>
          <w:sz w:val="24"/>
          <w:szCs w:val="24"/>
        </w:rPr>
        <w:t>Trong nghiên cứu của chúng tôi thời gian theo dõi trung bình là 18,3 tháng (ngắn nhất 1 tháng dài nhất 48 tháng) đã ghi nhận 56 bệnh nhân có tái phát và 45 bệnh nhân tử vong</w:t>
      </w:r>
      <w:r w:rsidR="00662002" w:rsidRPr="005D0EBE">
        <w:rPr>
          <w:rFonts w:ascii="Times New Roman" w:hAnsi="Times New Roman" w:cs="Times New Roman"/>
          <w:color w:val="000000" w:themeColor="text1"/>
          <w:sz w:val="24"/>
          <w:szCs w:val="24"/>
        </w:rPr>
        <w:t xml:space="preserve">. Thời gian sống thêm không bệnh </w:t>
      </w:r>
      <w:r>
        <w:rPr>
          <w:rFonts w:ascii="Times New Roman" w:hAnsi="Times New Roman" w:cs="Times New Roman"/>
          <w:color w:val="000000" w:themeColor="text1"/>
          <w:sz w:val="24"/>
          <w:szCs w:val="24"/>
        </w:rPr>
        <w:t xml:space="preserve">tiến triển </w:t>
      </w:r>
      <w:r w:rsidR="00662002" w:rsidRPr="005D0EBE">
        <w:rPr>
          <w:rFonts w:ascii="Times New Roman" w:hAnsi="Times New Roman" w:cs="Times New Roman"/>
          <w:color w:val="000000" w:themeColor="text1"/>
          <w:sz w:val="24"/>
          <w:szCs w:val="24"/>
        </w:rPr>
        <w:t>của nghiên cứu đạt trung vị 1</w:t>
      </w:r>
      <w:r>
        <w:rPr>
          <w:rFonts w:ascii="Times New Roman" w:hAnsi="Times New Roman" w:cs="Times New Roman"/>
          <w:color w:val="000000" w:themeColor="text1"/>
          <w:sz w:val="24"/>
          <w:szCs w:val="24"/>
        </w:rPr>
        <w:t>3</w:t>
      </w:r>
      <w:r w:rsidR="00662002" w:rsidRPr="005D0EBE">
        <w:rPr>
          <w:rFonts w:ascii="Times New Roman" w:hAnsi="Times New Roman" w:cs="Times New Roman"/>
          <w:color w:val="000000" w:themeColor="text1"/>
          <w:sz w:val="24"/>
          <w:szCs w:val="24"/>
        </w:rPr>
        <w:t xml:space="preserve"> tháng. Thời gian sống thêm </w:t>
      </w:r>
      <w:r>
        <w:rPr>
          <w:rFonts w:ascii="Times New Roman" w:hAnsi="Times New Roman" w:cs="Times New Roman"/>
          <w:color w:val="000000" w:themeColor="text1"/>
          <w:sz w:val="24"/>
          <w:szCs w:val="24"/>
        </w:rPr>
        <w:t>toàn bộ</w:t>
      </w:r>
      <w:r w:rsidR="00662002" w:rsidRPr="005D0EBE">
        <w:rPr>
          <w:rFonts w:ascii="Times New Roman" w:hAnsi="Times New Roman" w:cs="Times New Roman"/>
          <w:color w:val="000000" w:themeColor="text1"/>
          <w:sz w:val="24"/>
          <w:szCs w:val="24"/>
        </w:rPr>
        <w:t xml:space="preserve"> của nghiên cứu đạt trung vị 2</w:t>
      </w:r>
      <w:r>
        <w:rPr>
          <w:rFonts w:ascii="Times New Roman" w:hAnsi="Times New Roman" w:cs="Times New Roman"/>
          <w:color w:val="000000" w:themeColor="text1"/>
          <w:sz w:val="24"/>
          <w:szCs w:val="24"/>
        </w:rPr>
        <w:t>1</w:t>
      </w:r>
      <w:r w:rsidR="00662002" w:rsidRPr="005D0EBE">
        <w:rPr>
          <w:rFonts w:ascii="Times New Roman" w:hAnsi="Times New Roman" w:cs="Times New Roman"/>
          <w:color w:val="000000" w:themeColor="text1"/>
          <w:sz w:val="24"/>
          <w:szCs w:val="24"/>
        </w:rPr>
        <w:t xml:space="preserve"> tháng.</w:t>
      </w:r>
      <w:r w:rsidR="004C2069" w:rsidRPr="005D0EBE">
        <w:rPr>
          <w:rFonts w:ascii="Times New Roman" w:hAnsi="Times New Roman" w:cs="Times New Roman"/>
          <w:color w:val="000000" w:themeColor="text1"/>
          <w:sz w:val="24"/>
          <w:szCs w:val="24"/>
        </w:rPr>
        <w:t xml:space="preserve"> </w:t>
      </w:r>
      <w:r w:rsidRPr="005D0EBE">
        <w:rPr>
          <w:rFonts w:ascii="Times New Roman" w:hAnsi="Times New Roman" w:cs="Times New Roman"/>
          <w:color w:val="000000" w:themeColor="text1"/>
          <w:sz w:val="24"/>
          <w:szCs w:val="24"/>
        </w:rPr>
        <w:t xml:space="preserve">Nghiên cứu của Clarisse Cazelles (2021) cho kết quả thời gian sống thêm không bệnh trung vị là 5 tháng và thời gian sống thêm toàn bộ là 10 tháng </w:t>
      </w:r>
      <w:hyperlink w:anchor="_ENREF_6" w:tooltip="Clarisse Cazelles, 2021 #14"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&lt;EndNote&gt;&lt;Cite&gt;&lt;Author&gt;Clarisse Cazelles&lt;/Author&gt;&lt;Year&gt;2021&lt;/Year&gt;&lt;RecNum&gt;14&lt;/RecNum&gt;&lt;DisplayText&gt;&lt;style face="superscript"&gt;6&lt;/style&gt;&lt;/DisplayText&gt;&lt;record&gt;&lt;rec-number&gt;14&lt;/rec-number&gt;&lt;foreign-keys&gt;&lt;key app="EN" db-id="55rp0zaau99stpeffsnx2ez1sxatx5axz59z" timestamp="1645963762"&gt;14&lt;/key&gt;&lt;/foreign-keys&gt;&lt;ref-type name="Journal Article"&gt;17&lt;/ref-type&gt;&lt;contributors&gt;&lt;authors&gt;&lt;author&gt;Clarisse Cazelles, &lt;/author&gt;&lt;author&gt;Karim Belhadj, &lt;/author&gt;&lt;author&gt;Hélène Vellemans et al.,&lt;/author&gt;&lt;/authors&gt;&lt;/contributors&gt;&lt;titles&gt;&lt;title&gt;Rituximab plus gemcitabine and oxaliplatin (R-GemOx) in refractory/relapsed diffuse large B-cell lymphoma: a real-life study in patients ineligible for autologous stem-cell transplantation&lt;/title&gt;&lt;secondary-title&gt;Leuk Lymphoma&lt;/secondary-title&gt;&lt;/titles&gt;&lt;periodical&gt;&lt;full-title&gt;Leuk Lymphoma&lt;/full-title&gt;&lt;/periodical&gt;&lt;pages&gt;2161-2168&lt;/pages&gt;&lt;volume&gt;62&lt;/volume&gt;&lt;num-vols&gt;9&lt;/num-vols&gt;&lt;dates&gt;&lt;year&gt;2021&lt;/year&gt;&lt;/dates&gt;&lt;urls&gt;&lt;/urls&gt;&lt;/record&gt;&lt;/Cite&gt;&lt;/EndNote&gt;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6</w:t>
        </w:r>
        <w:r w:rsidR="00355E48" w:rsidRPr="005D0EBE">
          <w:rPr>
            <w:rFonts w:ascii="Times New Roman" w:hAnsi="Times New Roman" w:cs="Times New Roman"/>
            <w:color w:val="000000" w:themeColor="text1"/>
            <w:sz w:val="24"/>
            <w:szCs w:val="24"/>
          </w:rPr>
          <w:fldChar w:fldCharType="end"/>
        </w:r>
      </w:hyperlink>
      <w:r w:rsidRPr="005D0E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62002" w:rsidRPr="005D0EBE">
        <w:rPr>
          <w:rFonts w:ascii="Times New Roman" w:hAnsi="Times New Roman" w:cs="Times New Roman"/>
          <w:color w:val="000000" w:themeColor="text1"/>
          <w:sz w:val="24"/>
          <w:szCs w:val="24"/>
        </w:rPr>
        <w:t xml:space="preserve">Nghiên cứu của T. El Gnaoui </w:t>
      </w:r>
      <w:r w:rsidR="000D733B" w:rsidRPr="005D0EBE">
        <w:rPr>
          <w:rFonts w:ascii="Times New Roman" w:hAnsi="Times New Roman" w:cs="Times New Roman"/>
          <w:color w:val="000000" w:themeColor="text1"/>
          <w:sz w:val="24"/>
          <w:szCs w:val="24"/>
        </w:rPr>
        <w:t>(2007)</w:t>
      </w:r>
      <w:r w:rsidR="00662002" w:rsidRPr="005D0EBE">
        <w:rPr>
          <w:rFonts w:ascii="Times New Roman" w:hAnsi="Times New Roman" w:cs="Times New Roman"/>
          <w:color w:val="000000" w:themeColor="text1"/>
          <w:sz w:val="24"/>
          <w:szCs w:val="24"/>
        </w:rPr>
        <w:t xml:space="preserve"> cho kết quả tỉ lệ sống thêm toàn bộ 2 năm đạt 66%; tỉ lệ sống thêm không bệnh đạt 43%</w:t>
      </w:r>
      <w:hyperlink w:anchor="_ENREF_3" w:tooltip="T. El Gnaoui, 2007 #1" w:history="1">
        <w:r w:rsidR="00355E48" w:rsidRPr="005D0EBE">
          <w:rPr>
            <w:rFonts w:ascii="Times New Roman" w:hAnsi="Times New Roman" w:cs="Times New Roman"/>
            <w:color w:val="000000" w:themeColor="text1"/>
            <w:sz w:val="24"/>
            <w:szCs w:val="24"/>
          </w:rPr>
          <w:fldChar w:fldCharType="begin"/>
        </w:r>
        <w:r w:rsidR="00355E48" w:rsidRPr="005D0EBE">
          <w:rPr>
            <w:rFonts w:ascii="Times New Roman" w:hAnsi="Times New Roman" w:cs="Times New Roman"/>
            <w:color w:val="000000" w:themeColor="text1"/>
            <w:sz w:val="24"/>
            <w:szCs w:val="24"/>
          </w:rPr>
          <w:instrText xml:space="preserve"> ADDIN EN.CITE &lt;EndNote&gt;&lt;Cite&gt;&lt;Author&gt;T. El Gnaoui&lt;/Author&gt;&lt;Year&gt;2007&lt;/Year&gt;&lt;RecNum&gt;1&lt;/RecNum&gt;&lt;DisplayText&gt;&lt;style face="superscript"&gt;3&lt;/style&gt;&lt;/DisplayText&gt;&lt;record&gt;&lt;rec-number&gt;1&lt;/rec-number&gt;&lt;foreign-keys&gt;&lt;key app="EN" db-id="55rp0zaau99stpeffsnx2ez1sxatx5axz59z" timestamp="1645962276"&gt;1&lt;/key&gt;&lt;/foreign-keys&gt;&lt;ref-type name="Journal Article"&gt;17&lt;/ref-type&gt;&lt;contributors&gt;&lt;authors&gt;&lt;author&gt;T. El Gnaoui, &lt;/author&gt;&lt;author&gt;J. Dupuis, &lt;/author&gt;&lt;author&gt;K. Belhadj et al.,&lt;/author&gt;&lt;/authors&gt;&lt;/contributors&gt;&lt;titles&gt;&lt;title&gt;Rituximab, gemcitabine and oxaliplatin: an effective salvage regimen for patients with relapsed or refractory B-cell lymphoma not candidates for high-dose therapy&lt;/title&gt;&lt;secondary-title&gt;Annals of Oncology&lt;/secondary-title&gt;&lt;/titles&gt;&lt;periodical&gt;&lt;full-title&gt;Annals of Oncology&lt;/full-title&gt;&lt;/periodical&gt;&lt;pages&gt;1363–1368&lt;/pages&gt;&lt;dates&gt;&lt;year&gt;2007&lt;/year&gt;&lt;/dates&gt;&lt;urls&gt;&lt;/urls&gt;&lt;/record&gt;&lt;/Cite&gt;&lt;/EndNote&gt;</w:instrText>
        </w:r>
        <w:r w:rsidR="00355E48" w:rsidRPr="005D0EBE">
          <w:rPr>
            <w:rFonts w:ascii="Times New Roman" w:hAnsi="Times New Roman" w:cs="Times New Roman"/>
            <w:color w:val="000000" w:themeColor="text1"/>
            <w:sz w:val="24"/>
            <w:szCs w:val="24"/>
          </w:rPr>
          <w:fldChar w:fldCharType="separate"/>
        </w:r>
        <w:r w:rsidR="00355E48" w:rsidRPr="005D0EBE">
          <w:rPr>
            <w:rFonts w:ascii="Times New Roman" w:hAnsi="Times New Roman" w:cs="Times New Roman"/>
            <w:noProof/>
            <w:color w:val="000000" w:themeColor="text1"/>
            <w:sz w:val="24"/>
            <w:szCs w:val="24"/>
            <w:vertAlign w:val="superscript"/>
          </w:rPr>
          <w:t>3</w:t>
        </w:r>
        <w:r w:rsidR="00355E48" w:rsidRPr="005D0EBE">
          <w:rPr>
            <w:rFonts w:ascii="Times New Roman" w:hAnsi="Times New Roman" w:cs="Times New Roman"/>
            <w:color w:val="000000" w:themeColor="text1"/>
            <w:sz w:val="24"/>
            <w:szCs w:val="24"/>
          </w:rPr>
          <w:fldChar w:fldCharType="end"/>
        </w:r>
      </w:hyperlink>
      <w:r w:rsidR="00662002" w:rsidRPr="005D0EBE">
        <w:rPr>
          <w:rFonts w:ascii="Times New Roman" w:hAnsi="Times New Roman" w:cs="Times New Roman"/>
          <w:color w:val="000000" w:themeColor="text1"/>
          <w:sz w:val="24"/>
          <w:szCs w:val="24"/>
        </w:rPr>
        <w:t xml:space="preserve">. </w:t>
      </w:r>
      <w:bookmarkStart w:id="9" w:name="_Toc120815827"/>
      <w:r w:rsidR="003D3C04" w:rsidRPr="005D0EBE">
        <w:rPr>
          <w:rFonts w:ascii="Times New Roman" w:eastAsia="Times New Roman" w:hAnsi="Times New Roman" w:cs="Times New Roman"/>
          <w:sz w:val="24"/>
          <w:szCs w:val="24"/>
        </w:rPr>
        <w:t>Kháng trị là yếu tố tiên lượng độc lập với PFS</w:t>
      </w:r>
      <w:r w:rsidR="003D3C04">
        <w:rPr>
          <w:rFonts w:ascii="Times New Roman" w:eastAsia="Times New Roman" w:hAnsi="Times New Roman" w:cs="Times New Roman"/>
          <w:sz w:val="24"/>
          <w:szCs w:val="24"/>
        </w:rPr>
        <w:t xml:space="preserve"> (p&lt;0,05) và </w:t>
      </w:r>
      <w:r w:rsidR="003D3C04">
        <w:rPr>
          <w:rFonts w:ascii="Times New Roman" w:eastAsia="Times New Roman" w:hAnsi="Times New Roman" w:cs="Times New Roman"/>
          <w:iCs/>
          <w:sz w:val="24"/>
          <w:szCs w:val="24"/>
        </w:rPr>
        <w:t>đ</w:t>
      </w:r>
      <w:r w:rsidR="003D3C04" w:rsidRPr="005D0EBE">
        <w:rPr>
          <w:rFonts w:ascii="Times New Roman" w:eastAsia="Times New Roman" w:hAnsi="Times New Roman" w:cs="Times New Roman"/>
          <w:iCs/>
          <w:sz w:val="24"/>
          <w:szCs w:val="24"/>
        </w:rPr>
        <w:t>áp ứng sau điều trị là yếu tố tiên lượng độc lập với thời gian sống thêm không bệnh tiến triển và thời gian sống thêm toàn bộ với p&lt;0,001.</w:t>
      </w:r>
    </w:p>
    <w:p w14:paraId="5A511D9B" w14:textId="0DC92E89" w:rsidR="007F0936" w:rsidRDefault="007F0936" w:rsidP="007F0936">
      <w:pPr>
        <w:spacing w:after="120" w:line="360" w:lineRule="auto"/>
        <w:jc w:val="both"/>
        <w:rPr>
          <w:rFonts w:ascii="Times New Roman" w:hAnsi="Times New Roman" w:cs="Times New Roman"/>
          <w:color w:val="000000" w:themeColor="text1"/>
          <w:sz w:val="24"/>
          <w:szCs w:val="24"/>
        </w:rPr>
      </w:pPr>
    </w:p>
    <w:p w14:paraId="5B0D9E67" w14:textId="7C069C1B" w:rsidR="00662002" w:rsidRPr="007F0936" w:rsidRDefault="007F0936" w:rsidP="007F0936">
      <w:pPr>
        <w:spacing w:after="120" w:line="360" w:lineRule="auto"/>
        <w:jc w:val="both"/>
        <w:rPr>
          <w:rFonts w:ascii="Times New Roman" w:hAnsi="Times New Roman" w:cs="Times New Roman"/>
          <w:b/>
          <w:bCs/>
          <w:color w:val="000000" w:themeColor="text1"/>
          <w:sz w:val="24"/>
          <w:szCs w:val="24"/>
        </w:rPr>
      </w:pPr>
      <w:r w:rsidRPr="007F0936">
        <w:rPr>
          <w:rFonts w:ascii="Times New Roman" w:hAnsi="Times New Roman" w:cs="Times New Roman"/>
          <w:b/>
          <w:bCs/>
          <w:color w:val="000000" w:themeColor="text1"/>
          <w:sz w:val="24"/>
          <w:szCs w:val="24"/>
        </w:rPr>
        <w:lastRenderedPageBreak/>
        <w:t xml:space="preserve">5. </w:t>
      </w:r>
      <w:r w:rsidR="00662002" w:rsidRPr="007F0936">
        <w:rPr>
          <w:rFonts w:ascii="Times New Roman" w:hAnsi="Times New Roman" w:cs="Times New Roman"/>
          <w:b/>
          <w:bCs/>
          <w:color w:val="000000" w:themeColor="text1"/>
          <w:sz w:val="24"/>
          <w:szCs w:val="24"/>
        </w:rPr>
        <w:t>Kết luận</w:t>
      </w:r>
      <w:bookmarkEnd w:id="9"/>
    </w:p>
    <w:p w14:paraId="3482B27B" w14:textId="4ACC35A1" w:rsidR="00655A3F" w:rsidRPr="005D0EBE" w:rsidRDefault="00655A3F" w:rsidP="00655A3F">
      <w:pPr>
        <w:tabs>
          <w:tab w:val="center" w:pos="4761"/>
        </w:tabs>
        <w:spacing w:line="360" w:lineRule="auto"/>
        <w:jc w:val="both"/>
        <w:rPr>
          <w:rFonts w:ascii="Times New Roman" w:hAnsi="Times New Roman" w:cs="Times New Roman"/>
          <w:color w:val="000000" w:themeColor="text1"/>
          <w:sz w:val="24"/>
          <w:szCs w:val="24"/>
        </w:rPr>
      </w:pPr>
      <w:r w:rsidRPr="005D0EBE">
        <w:rPr>
          <w:rFonts w:ascii="Times New Roman" w:hAnsi="Times New Roman" w:cs="Times New Roman"/>
          <w:color w:val="000000" w:themeColor="text1"/>
          <w:sz w:val="24"/>
          <w:szCs w:val="24"/>
        </w:rPr>
        <w:t>Qua nghiên cứu chúng tôi thấy p</w:t>
      </w:r>
      <w:r w:rsidR="004C2069" w:rsidRPr="005D0EBE">
        <w:rPr>
          <w:rFonts w:ascii="Times New Roman" w:hAnsi="Times New Roman" w:cs="Times New Roman"/>
          <w:color w:val="000000" w:themeColor="text1"/>
          <w:sz w:val="24"/>
          <w:szCs w:val="24"/>
        </w:rPr>
        <w:t xml:space="preserve">hác đồ RGEMOX ứng dụng trong điều trị U lympho không Hodgkin tế bào B tái phát/kháng trị </w:t>
      </w:r>
      <w:r w:rsidRPr="005D0EBE">
        <w:rPr>
          <w:rFonts w:ascii="Times New Roman" w:hAnsi="Times New Roman" w:cs="Times New Roman"/>
          <w:color w:val="000000" w:themeColor="text1"/>
          <w:sz w:val="24"/>
          <w:szCs w:val="24"/>
        </w:rPr>
        <w:t xml:space="preserve">không có chỉ định hóa chất liều cao </w:t>
      </w:r>
      <w:r w:rsidR="004C2069" w:rsidRPr="005D0EBE">
        <w:rPr>
          <w:rFonts w:ascii="Times New Roman" w:hAnsi="Times New Roman" w:cs="Times New Roman"/>
          <w:color w:val="000000" w:themeColor="text1"/>
          <w:sz w:val="24"/>
          <w:szCs w:val="24"/>
        </w:rPr>
        <w:t xml:space="preserve">đạt tỉ lệ đáp ứng cuối kì </w:t>
      </w:r>
      <w:r w:rsidR="00C84431" w:rsidRPr="005D0EBE">
        <w:rPr>
          <w:rFonts w:ascii="Times New Roman" w:hAnsi="Times New Roman" w:cs="Times New Roman"/>
          <w:color w:val="000000" w:themeColor="text1"/>
          <w:sz w:val="24"/>
          <w:szCs w:val="24"/>
        </w:rPr>
        <w:t>đạt</w:t>
      </w:r>
      <w:r w:rsidRPr="005D0EBE">
        <w:rPr>
          <w:rFonts w:ascii="Times New Roman" w:hAnsi="Times New Roman" w:cs="Times New Roman"/>
          <w:color w:val="000000" w:themeColor="text1"/>
          <w:sz w:val="24"/>
          <w:szCs w:val="24"/>
        </w:rPr>
        <w:t xml:space="preserve"> </w:t>
      </w:r>
      <w:r w:rsidR="0017686F">
        <w:rPr>
          <w:rFonts w:ascii="Times New Roman" w:hAnsi="Times New Roman" w:cs="Times New Roman"/>
          <w:color w:val="000000" w:themeColor="text1"/>
          <w:sz w:val="24"/>
          <w:szCs w:val="24"/>
        </w:rPr>
        <w:t>51,8</w:t>
      </w:r>
      <w:r w:rsidRPr="005D0EBE">
        <w:rPr>
          <w:rFonts w:ascii="Times New Roman" w:hAnsi="Times New Roman" w:cs="Times New Roman"/>
          <w:color w:val="000000" w:themeColor="text1"/>
          <w:sz w:val="24"/>
          <w:szCs w:val="24"/>
        </w:rPr>
        <w:t>%, ít gặp tác dụng không mong muốn, thời gian sống thêm không bệnh tiến triển đạt 1</w:t>
      </w:r>
      <w:r w:rsidR="0017686F">
        <w:rPr>
          <w:rFonts w:ascii="Times New Roman" w:hAnsi="Times New Roman" w:cs="Times New Roman"/>
          <w:color w:val="000000" w:themeColor="text1"/>
          <w:sz w:val="24"/>
          <w:szCs w:val="24"/>
        </w:rPr>
        <w:t xml:space="preserve">3 </w:t>
      </w:r>
      <w:r w:rsidRPr="005D0EBE">
        <w:rPr>
          <w:rFonts w:ascii="Times New Roman" w:hAnsi="Times New Roman" w:cs="Times New Roman"/>
          <w:color w:val="000000" w:themeColor="text1"/>
          <w:sz w:val="24"/>
          <w:szCs w:val="24"/>
        </w:rPr>
        <w:t xml:space="preserve">tháng và thời gian sống thêm toàn bộ đạt </w:t>
      </w:r>
      <w:r w:rsidR="0017686F">
        <w:rPr>
          <w:rFonts w:ascii="Times New Roman" w:hAnsi="Times New Roman" w:cs="Times New Roman"/>
          <w:color w:val="000000" w:themeColor="text1"/>
          <w:sz w:val="24"/>
          <w:szCs w:val="24"/>
        </w:rPr>
        <w:t>21</w:t>
      </w:r>
      <w:r w:rsidRPr="005D0EBE">
        <w:rPr>
          <w:rFonts w:ascii="Times New Roman" w:hAnsi="Times New Roman" w:cs="Times New Roman"/>
          <w:color w:val="000000" w:themeColor="text1"/>
          <w:sz w:val="24"/>
          <w:szCs w:val="24"/>
        </w:rPr>
        <w:t xml:space="preserve"> tháng.</w:t>
      </w:r>
    </w:p>
    <w:p w14:paraId="1505E317" w14:textId="77777777" w:rsidR="00E23C93" w:rsidRPr="005D0EBE" w:rsidRDefault="00664AC0" w:rsidP="005046DB">
      <w:pPr>
        <w:jc w:val="both"/>
        <w:rPr>
          <w:rFonts w:ascii="Times New Roman" w:hAnsi="Times New Roman" w:cs="Times New Roman"/>
          <w:b/>
          <w:color w:val="000000" w:themeColor="text1"/>
          <w:sz w:val="24"/>
          <w:szCs w:val="24"/>
        </w:rPr>
      </w:pPr>
      <w:r w:rsidRPr="005D0EBE">
        <w:rPr>
          <w:rFonts w:ascii="Times New Roman" w:hAnsi="Times New Roman" w:cs="Times New Roman"/>
          <w:b/>
          <w:color w:val="000000" w:themeColor="text1"/>
          <w:sz w:val="24"/>
          <w:szCs w:val="24"/>
        </w:rPr>
        <w:t>Tài liệu tham khảo</w:t>
      </w:r>
    </w:p>
    <w:p w14:paraId="7FF122CE" w14:textId="77777777" w:rsidR="00355E48" w:rsidRPr="00636050" w:rsidRDefault="003607C6" w:rsidP="00636050">
      <w:pPr>
        <w:pStyle w:val="EndNoteBibliography"/>
        <w:spacing w:after="0"/>
        <w:jc w:val="both"/>
        <w:rPr>
          <w:rFonts w:ascii="Times New Roman" w:hAnsi="Times New Roman" w:cs="Times New Roman"/>
          <w:sz w:val="24"/>
          <w:szCs w:val="24"/>
        </w:rPr>
      </w:pPr>
      <w:r w:rsidRPr="00636050">
        <w:rPr>
          <w:rFonts w:ascii="Times New Roman" w:hAnsi="Times New Roman" w:cs="Times New Roman"/>
          <w:color w:val="000000" w:themeColor="text1"/>
          <w:sz w:val="24"/>
          <w:szCs w:val="24"/>
        </w:rPr>
        <w:fldChar w:fldCharType="begin"/>
      </w:r>
      <w:r w:rsidRPr="00636050">
        <w:rPr>
          <w:rFonts w:ascii="Times New Roman" w:hAnsi="Times New Roman" w:cs="Times New Roman"/>
          <w:color w:val="000000" w:themeColor="text1"/>
          <w:sz w:val="24"/>
          <w:szCs w:val="24"/>
        </w:rPr>
        <w:instrText xml:space="preserve"> ADDIN EN.REFLIST </w:instrText>
      </w:r>
      <w:r w:rsidRPr="00636050">
        <w:rPr>
          <w:rFonts w:ascii="Times New Roman" w:hAnsi="Times New Roman" w:cs="Times New Roman"/>
          <w:color w:val="000000" w:themeColor="text1"/>
          <w:sz w:val="24"/>
          <w:szCs w:val="24"/>
        </w:rPr>
        <w:fldChar w:fldCharType="separate"/>
      </w:r>
      <w:bookmarkStart w:id="10" w:name="_ENREF_1"/>
      <w:r w:rsidR="00355E48" w:rsidRPr="00636050">
        <w:rPr>
          <w:rFonts w:ascii="Times New Roman" w:hAnsi="Times New Roman" w:cs="Times New Roman"/>
          <w:sz w:val="24"/>
          <w:szCs w:val="24"/>
        </w:rPr>
        <w:t>1.</w:t>
      </w:r>
      <w:r w:rsidR="00355E48" w:rsidRPr="00636050">
        <w:rPr>
          <w:rFonts w:ascii="Times New Roman" w:hAnsi="Times New Roman" w:cs="Times New Roman"/>
          <w:sz w:val="24"/>
          <w:szCs w:val="24"/>
        </w:rPr>
        <w:tab/>
        <w:t xml:space="preserve">Philip T, Guglielmi C, Hagenbeek A et al. Autologous bone marrow transplantation as compared with salvage chemotherapy in relapses of chemotherapy-sensitive non-Hodgkin’s lymphoma. . </w:t>
      </w:r>
      <w:r w:rsidR="00355E48" w:rsidRPr="00636050">
        <w:rPr>
          <w:rFonts w:ascii="Times New Roman" w:hAnsi="Times New Roman" w:cs="Times New Roman"/>
          <w:i/>
          <w:sz w:val="24"/>
          <w:szCs w:val="24"/>
        </w:rPr>
        <w:t>N Engl J Med</w:t>
      </w:r>
      <w:r w:rsidR="00355E48" w:rsidRPr="00636050">
        <w:rPr>
          <w:rFonts w:ascii="Times New Roman" w:hAnsi="Times New Roman" w:cs="Times New Roman"/>
          <w:sz w:val="24"/>
          <w:szCs w:val="24"/>
        </w:rPr>
        <w:t xml:space="preserve">. 1995;333:1540–1545. </w:t>
      </w:r>
      <w:bookmarkEnd w:id="10"/>
    </w:p>
    <w:p w14:paraId="3AD77002" w14:textId="77777777" w:rsidR="00355E48" w:rsidRPr="00636050" w:rsidRDefault="00355E48" w:rsidP="00636050">
      <w:pPr>
        <w:pStyle w:val="EndNoteBibliography"/>
        <w:spacing w:after="0"/>
        <w:jc w:val="both"/>
        <w:rPr>
          <w:rFonts w:ascii="Times New Roman" w:hAnsi="Times New Roman" w:cs="Times New Roman"/>
          <w:sz w:val="24"/>
          <w:szCs w:val="24"/>
        </w:rPr>
      </w:pPr>
      <w:bookmarkStart w:id="11" w:name="_ENREF_2"/>
      <w:r w:rsidRPr="00636050">
        <w:rPr>
          <w:rFonts w:ascii="Times New Roman" w:hAnsi="Times New Roman" w:cs="Times New Roman"/>
          <w:sz w:val="24"/>
          <w:szCs w:val="24"/>
        </w:rPr>
        <w:t>2.</w:t>
      </w:r>
      <w:r w:rsidRPr="00636050">
        <w:rPr>
          <w:rFonts w:ascii="Times New Roman" w:hAnsi="Times New Roman" w:cs="Times New Roman"/>
          <w:sz w:val="24"/>
          <w:szCs w:val="24"/>
        </w:rPr>
        <w:tab/>
        <w:t xml:space="preserve">Schouten HC, Qian W, Kvaloy S et al. High-dose therapy improves progressionfree survival and survival in relapsed follicular non-Hodgkin’s lymphoma: results from the randomized European CUP trial. </w:t>
      </w:r>
      <w:r w:rsidRPr="00636050">
        <w:rPr>
          <w:rFonts w:ascii="Times New Roman" w:hAnsi="Times New Roman" w:cs="Times New Roman"/>
          <w:i/>
          <w:sz w:val="24"/>
          <w:szCs w:val="24"/>
        </w:rPr>
        <w:t xml:space="preserve">J Clin Oncol </w:t>
      </w:r>
      <w:r w:rsidRPr="00636050">
        <w:rPr>
          <w:rFonts w:ascii="Times New Roman" w:hAnsi="Times New Roman" w:cs="Times New Roman"/>
          <w:sz w:val="24"/>
          <w:szCs w:val="24"/>
        </w:rPr>
        <w:t xml:space="preserve">2003;21:3918–3927. </w:t>
      </w:r>
      <w:bookmarkEnd w:id="11"/>
    </w:p>
    <w:p w14:paraId="74B5A6DC" w14:textId="77777777" w:rsidR="00355E48" w:rsidRPr="00636050" w:rsidRDefault="00355E48" w:rsidP="00636050">
      <w:pPr>
        <w:pStyle w:val="EndNoteBibliography"/>
        <w:spacing w:after="0"/>
        <w:jc w:val="both"/>
        <w:rPr>
          <w:rFonts w:ascii="Times New Roman" w:hAnsi="Times New Roman" w:cs="Times New Roman"/>
          <w:sz w:val="24"/>
          <w:szCs w:val="24"/>
        </w:rPr>
      </w:pPr>
      <w:bookmarkStart w:id="12" w:name="_ENREF_3"/>
      <w:r w:rsidRPr="00636050">
        <w:rPr>
          <w:rFonts w:ascii="Times New Roman" w:hAnsi="Times New Roman" w:cs="Times New Roman"/>
          <w:sz w:val="24"/>
          <w:szCs w:val="24"/>
        </w:rPr>
        <w:t>3.</w:t>
      </w:r>
      <w:r w:rsidRPr="00636050">
        <w:rPr>
          <w:rFonts w:ascii="Times New Roman" w:hAnsi="Times New Roman" w:cs="Times New Roman"/>
          <w:sz w:val="24"/>
          <w:szCs w:val="24"/>
        </w:rPr>
        <w:tab/>
        <w:t xml:space="preserve">T. El Gnaoui, J. Dupuis, K. Belhadj et al. Rituximab, gemcitabine and oxaliplatin: an effective salvage regimen for patients with relapsed or refractory B-cell lymphoma not candidates for high-dose therapy. </w:t>
      </w:r>
      <w:r w:rsidRPr="00636050">
        <w:rPr>
          <w:rFonts w:ascii="Times New Roman" w:hAnsi="Times New Roman" w:cs="Times New Roman"/>
          <w:i/>
          <w:sz w:val="24"/>
          <w:szCs w:val="24"/>
        </w:rPr>
        <w:t>Annals of Oncology</w:t>
      </w:r>
      <w:r w:rsidRPr="00636050">
        <w:rPr>
          <w:rFonts w:ascii="Times New Roman" w:hAnsi="Times New Roman" w:cs="Times New Roman"/>
          <w:sz w:val="24"/>
          <w:szCs w:val="24"/>
        </w:rPr>
        <w:t xml:space="preserve">. 2007:1363–1368. </w:t>
      </w:r>
      <w:bookmarkEnd w:id="12"/>
    </w:p>
    <w:p w14:paraId="4C5F476D" w14:textId="77777777" w:rsidR="00355E48" w:rsidRPr="00636050" w:rsidRDefault="00355E48" w:rsidP="00636050">
      <w:pPr>
        <w:pStyle w:val="EndNoteBibliography"/>
        <w:spacing w:after="0"/>
        <w:jc w:val="both"/>
        <w:rPr>
          <w:rFonts w:ascii="Times New Roman" w:hAnsi="Times New Roman" w:cs="Times New Roman"/>
          <w:sz w:val="24"/>
          <w:szCs w:val="24"/>
        </w:rPr>
      </w:pPr>
      <w:bookmarkStart w:id="13" w:name="_ENREF_4"/>
      <w:r w:rsidRPr="00636050">
        <w:rPr>
          <w:rFonts w:ascii="Times New Roman" w:hAnsi="Times New Roman" w:cs="Times New Roman"/>
          <w:sz w:val="24"/>
          <w:szCs w:val="24"/>
        </w:rPr>
        <w:t>4.</w:t>
      </w:r>
      <w:r w:rsidRPr="00636050">
        <w:rPr>
          <w:rFonts w:ascii="Times New Roman" w:hAnsi="Times New Roman" w:cs="Times New Roman"/>
          <w:sz w:val="24"/>
          <w:szCs w:val="24"/>
        </w:rPr>
        <w:tab/>
        <w:t xml:space="preserve">Fossa A, Santoro A, Hiddemann W et al. Gemcitabine as a single agent in the treatment of relapsed or refractory aggressive non-Hodgkin’s lymphoma. </w:t>
      </w:r>
      <w:r w:rsidRPr="00636050">
        <w:rPr>
          <w:rFonts w:ascii="Times New Roman" w:hAnsi="Times New Roman" w:cs="Times New Roman"/>
          <w:i/>
          <w:sz w:val="24"/>
          <w:szCs w:val="24"/>
        </w:rPr>
        <w:t>J Clin Oncol</w:t>
      </w:r>
      <w:r w:rsidRPr="00636050">
        <w:rPr>
          <w:rFonts w:ascii="Times New Roman" w:hAnsi="Times New Roman" w:cs="Times New Roman"/>
          <w:sz w:val="24"/>
          <w:szCs w:val="24"/>
        </w:rPr>
        <w:t xml:space="preserve">. 1999;17:3786–3792. </w:t>
      </w:r>
      <w:bookmarkEnd w:id="13"/>
    </w:p>
    <w:p w14:paraId="1452652D" w14:textId="77777777" w:rsidR="00355E48" w:rsidRPr="00636050" w:rsidRDefault="00355E48" w:rsidP="00636050">
      <w:pPr>
        <w:pStyle w:val="EndNoteBibliography"/>
        <w:spacing w:after="0"/>
        <w:jc w:val="both"/>
        <w:rPr>
          <w:rFonts w:ascii="Times New Roman" w:hAnsi="Times New Roman" w:cs="Times New Roman"/>
          <w:sz w:val="24"/>
          <w:szCs w:val="24"/>
        </w:rPr>
      </w:pPr>
      <w:bookmarkStart w:id="14" w:name="_ENREF_5"/>
      <w:r w:rsidRPr="00636050">
        <w:rPr>
          <w:rFonts w:ascii="Times New Roman" w:hAnsi="Times New Roman" w:cs="Times New Roman"/>
          <w:sz w:val="24"/>
          <w:szCs w:val="24"/>
        </w:rPr>
        <w:t>5.</w:t>
      </w:r>
      <w:r w:rsidRPr="00636050">
        <w:rPr>
          <w:rFonts w:ascii="Times New Roman" w:hAnsi="Times New Roman" w:cs="Times New Roman"/>
          <w:sz w:val="24"/>
          <w:szCs w:val="24"/>
        </w:rPr>
        <w:tab/>
        <w:t xml:space="preserve">Andrew D.Z. et al. NCCN Clinical practice guidelines in Oncology - B-Cell lymphomas. </w:t>
      </w:r>
      <w:r w:rsidRPr="00636050">
        <w:rPr>
          <w:rFonts w:ascii="Times New Roman" w:hAnsi="Times New Roman" w:cs="Times New Roman"/>
          <w:i/>
          <w:sz w:val="24"/>
          <w:szCs w:val="24"/>
        </w:rPr>
        <w:t>NCCN</w:t>
      </w:r>
      <w:r w:rsidRPr="00636050">
        <w:rPr>
          <w:rFonts w:ascii="Times New Roman" w:hAnsi="Times New Roman" w:cs="Times New Roman"/>
          <w:sz w:val="24"/>
          <w:szCs w:val="24"/>
        </w:rPr>
        <w:t xml:space="preserve">. 2020:12-65. </w:t>
      </w:r>
      <w:bookmarkEnd w:id="14"/>
    </w:p>
    <w:p w14:paraId="0AAA8FA0" w14:textId="77777777" w:rsidR="00355E48" w:rsidRPr="00636050" w:rsidRDefault="00355E48" w:rsidP="00636050">
      <w:pPr>
        <w:pStyle w:val="EndNoteBibliography"/>
        <w:jc w:val="both"/>
        <w:rPr>
          <w:rFonts w:ascii="Times New Roman" w:hAnsi="Times New Roman" w:cs="Times New Roman"/>
          <w:sz w:val="24"/>
          <w:szCs w:val="24"/>
        </w:rPr>
      </w:pPr>
      <w:bookmarkStart w:id="15" w:name="_ENREF_6"/>
      <w:r w:rsidRPr="00636050">
        <w:rPr>
          <w:rFonts w:ascii="Times New Roman" w:hAnsi="Times New Roman" w:cs="Times New Roman"/>
          <w:sz w:val="24"/>
          <w:szCs w:val="24"/>
        </w:rPr>
        <w:t>6.</w:t>
      </w:r>
      <w:r w:rsidRPr="00636050">
        <w:rPr>
          <w:rFonts w:ascii="Times New Roman" w:hAnsi="Times New Roman" w:cs="Times New Roman"/>
          <w:sz w:val="24"/>
          <w:szCs w:val="24"/>
        </w:rPr>
        <w:tab/>
        <w:t xml:space="preserve">Clarisse Cazelles, Karim Belhadj, Hélène Vellemans et al. Rituximab plus gemcitabine and oxaliplatin (R-GemOx) in refractory/relapsed diffuse large B-cell lymphoma: a real-life study in patients ineligible for autologous stem-cell transplantation. </w:t>
      </w:r>
      <w:r w:rsidRPr="00636050">
        <w:rPr>
          <w:rFonts w:ascii="Times New Roman" w:hAnsi="Times New Roman" w:cs="Times New Roman"/>
          <w:i/>
          <w:sz w:val="24"/>
          <w:szCs w:val="24"/>
        </w:rPr>
        <w:t>Leuk Lymphoma</w:t>
      </w:r>
      <w:r w:rsidRPr="00636050">
        <w:rPr>
          <w:rFonts w:ascii="Times New Roman" w:hAnsi="Times New Roman" w:cs="Times New Roman"/>
          <w:sz w:val="24"/>
          <w:szCs w:val="24"/>
        </w:rPr>
        <w:t xml:space="preserve">. 2021;62(9):2161-2168. </w:t>
      </w:r>
      <w:bookmarkEnd w:id="15"/>
    </w:p>
    <w:p w14:paraId="1DE5AAFF" w14:textId="54B83497" w:rsidR="00F01571" w:rsidRPr="005D0EBE" w:rsidRDefault="003607C6" w:rsidP="00636050">
      <w:pPr>
        <w:jc w:val="both"/>
        <w:rPr>
          <w:rFonts w:ascii="Times New Roman" w:hAnsi="Times New Roman" w:cs="Times New Roman"/>
          <w:color w:val="000000" w:themeColor="text1"/>
          <w:sz w:val="24"/>
          <w:szCs w:val="24"/>
        </w:rPr>
      </w:pPr>
      <w:r w:rsidRPr="00636050">
        <w:rPr>
          <w:rFonts w:ascii="Times New Roman" w:hAnsi="Times New Roman" w:cs="Times New Roman"/>
          <w:color w:val="000000" w:themeColor="text1"/>
          <w:sz w:val="24"/>
          <w:szCs w:val="24"/>
        </w:rPr>
        <w:fldChar w:fldCharType="end"/>
      </w:r>
    </w:p>
    <w:sectPr w:rsidR="00F01571" w:rsidRPr="005D0EBE" w:rsidSect="00AF08C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7855D" w14:textId="77777777" w:rsidR="00546CF2" w:rsidRDefault="00546CF2" w:rsidP="00566854">
      <w:pPr>
        <w:spacing w:after="0" w:line="240" w:lineRule="auto"/>
      </w:pPr>
      <w:r>
        <w:separator/>
      </w:r>
    </w:p>
  </w:endnote>
  <w:endnote w:type="continuationSeparator" w:id="0">
    <w:p w14:paraId="63C48ECC" w14:textId="77777777" w:rsidR="00546CF2" w:rsidRDefault="00546CF2" w:rsidP="0056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B849" w14:textId="77777777" w:rsidR="00C33D95" w:rsidRPr="001069DF" w:rsidRDefault="00C33D95" w:rsidP="00566854">
    <w:pPr>
      <w:pStyle w:val="Footer"/>
      <w:rPr>
        <w:rFonts w:ascii="Times New Roman" w:hAnsi="Times New Roman" w:cs="Times New Roman"/>
        <w:sz w:val="20"/>
        <w:szCs w:val="20"/>
      </w:rPr>
    </w:pPr>
    <w:r w:rsidRPr="001069DF">
      <w:rPr>
        <w:rFonts w:ascii="Times New Roman" w:hAnsi="Times New Roman" w:cs="Times New Roman"/>
        <w:sz w:val="20"/>
        <w:szCs w:val="20"/>
      </w:rPr>
      <w:t>Tác giả chịu trách nhiệm chính: TS. Đỗ Huyền Nga – Trưởng khoa Nội Hệ tạo Huyết – Bệnh viện K</w:t>
    </w:r>
  </w:p>
  <w:p w14:paraId="0552B82B" w14:textId="77777777" w:rsidR="00C33D95" w:rsidRPr="001069DF" w:rsidRDefault="00C33D95" w:rsidP="00566854">
    <w:pPr>
      <w:pStyle w:val="Footer"/>
      <w:rPr>
        <w:rFonts w:ascii="Times New Roman" w:hAnsi="Times New Roman" w:cs="Times New Roman"/>
        <w:sz w:val="20"/>
        <w:szCs w:val="20"/>
      </w:rPr>
    </w:pPr>
    <w:r w:rsidRPr="001069DF">
      <w:rPr>
        <w:rFonts w:ascii="Times New Roman" w:hAnsi="Times New Roman" w:cs="Times New Roman"/>
        <w:sz w:val="20"/>
        <w:szCs w:val="20"/>
      </w:rPr>
      <w:t xml:space="preserve">Email: </w:t>
    </w:r>
    <w:hyperlink r:id="rId1" w:history="1">
      <w:r w:rsidRPr="001069DF">
        <w:rPr>
          <w:rStyle w:val="Hyperlink"/>
          <w:rFonts w:ascii="Times New Roman" w:hAnsi="Times New Roman" w:cs="Times New Roman"/>
          <w:sz w:val="20"/>
          <w:szCs w:val="20"/>
        </w:rPr>
        <w:t>ncs29dhy@gmail.com</w:t>
      </w:r>
    </w:hyperlink>
  </w:p>
  <w:p w14:paraId="516FEF76" w14:textId="77777777" w:rsidR="00C33D95" w:rsidRDefault="00C33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4F19" w14:textId="77777777" w:rsidR="00546CF2" w:rsidRDefault="00546CF2" w:rsidP="00566854">
      <w:pPr>
        <w:spacing w:after="0" w:line="240" w:lineRule="auto"/>
      </w:pPr>
      <w:r>
        <w:separator/>
      </w:r>
    </w:p>
  </w:footnote>
  <w:footnote w:type="continuationSeparator" w:id="0">
    <w:p w14:paraId="069079CA" w14:textId="77777777" w:rsidR="00546CF2" w:rsidRDefault="00546CF2" w:rsidP="00566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F3E69"/>
    <w:multiLevelType w:val="hybridMultilevel"/>
    <w:tmpl w:val="A9D4C360"/>
    <w:lvl w:ilvl="0" w:tplc="85A801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E2CC6"/>
    <w:multiLevelType w:val="hybridMultilevel"/>
    <w:tmpl w:val="C3260A3E"/>
    <w:lvl w:ilvl="0" w:tplc="1FECEAF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F5859"/>
    <w:multiLevelType w:val="hybridMultilevel"/>
    <w:tmpl w:val="443282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2A5629"/>
    <w:multiLevelType w:val="hybridMultilevel"/>
    <w:tmpl w:val="3A48657C"/>
    <w:lvl w:ilvl="0" w:tplc="1FECEAF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47080"/>
    <w:multiLevelType w:val="hybridMultilevel"/>
    <w:tmpl w:val="1FBA75D6"/>
    <w:lvl w:ilvl="0" w:tplc="C53AE2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0F6EC4"/>
    <w:multiLevelType w:val="hybridMultilevel"/>
    <w:tmpl w:val="2C82BF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8646CD"/>
    <w:multiLevelType w:val="hybridMultilevel"/>
    <w:tmpl w:val="D3D8BE0E"/>
    <w:lvl w:ilvl="0" w:tplc="F328EAC0">
      <w:numFmt w:val="bullet"/>
      <w:lvlText w:val="-"/>
      <w:lvlJc w:val="left"/>
      <w:pPr>
        <w:ind w:left="720" w:hanging="360"/>
      </w:pPr>
      <w:rPr>
        <w:rFonts w:ascii="Times New Roman" w:eastAsia="Calibri"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9056F"/>
    <w:multiLevelType w:val="hybridMultilevel"/>
    <w:tmpl w:val="2BFA96AE"/>
    <w:lvl w:ilvl="0" w:tplc="1FECEAF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9F3BF0"/>
    <w:rsid w:val="00005C97"/>
    <w:rsid w:val="00031304"/>
    <w:rsid w:val="00032CD2"/>
    <w:rsid w:val="00044717"/>
    <w:rsid w:val="00053B27"/>
    <w:rsid w:val="00081F1B"/>
    <w:rsid w:val="0008462C"/>
    <w:rsid w:val="00091869"/>
    <w:rsid w:val="000D5737"/>
    <w:rsid w:val="000D733B"/>
    <w:rsid w:val="000E227A"/>
    <w:rsid w:val="000E4D13"/>
    <w:rsid w:val="0011465C"/>
    <w:rsid w:val="001278EA"/>
    <w:rsid w:val="00137BDC"/>
    <w:rsid w:val="001502E1"/>
    <w:rsid w:val="001759A8"/>
    <w:rsid w:val="0017686F"/>
    <w:rsid w:val="00197375"/>
    <w:rsid w:val="001B105A"/>
    <w:rsid w:val="001C1533"/>
    <w:rsid w:val="001C4538"/>
    <w:rsid w:val="001F3F5F"/>
    <w:rsid w:val="00201CBA"/>
    <w:rsid w:val="0024684B"/>
    <w:rsid w:val="00267E4C"/>
    <w:rsid w:val="002D3530"/>
    <w:rsid w:val="002E11B4"/>
    <w:rsid w:val="002F3723"/>
    <w:rsid w:val="00305CDB"/>
    <w:rsid w:val="003067A9"/>
    <w:rsid w:val="003229E7"/>
    <w:rsid w:val="00342046"/>
    <w:rsid w:val="0034762D"/>
    <w:rsid w:val="00351E93"/>
    <w:rsid w:val="00355E48"/>
    <w:rsid w:val="00357629"/>
    <w:rsid w:val="003607C6"/>
    <w:rsid w:val="0038309D"/>
    <w:rsid w:val="0039078A"/>
    <w:rsid w:val="003D13C4"/>
    <w:rsid w:val="003D3C04"/>
    <w:rsid w:val="003E5E32"/>
    <w:rsid w:val="003F6321"/>
    <w:rsid w:val="0040611A"/>
    <w:rsid w:val="00406D74"/>
    <w:rsid w:val="00411FB8"/>
    <w:rsid w:val="00416705"/>
    <w:rsid w:val="00434359"/>
    <w:rsid w:val="00456B5B"/>
    <w:rsid w:val="004918B2"/>
    <w:rsid w:val="00494194"/>
    <w:rsid w:val="00495673"/>
    <w:rsid w:val="004C2069"/>
    <w:rsid w:val="004D3C24"/>
    <w:rsid w:val="004D4721"/>
    <w:rsid w:val="004D55D1"/>
    <w:rsid w:val="004E0E94"/>
    <w:rsid w:val="005046DB"/>
    <w:rsid w:val="005046FD"/>
    <w:rsid w:val="00506AD2"/>
    <w:rsid w:val="00511F7C"/>
    <w:rsid w:val="00530510"/>
    <w:rsid w:val="00535823"/>
    <w:rsid w:val="00546517"/>
    <w:rsid w:val="00546CF2"/>
    <w:rsid w:val="0054789B"/>
    <w:rsid w:val="00557850"/>
    <w:rsid w:val="00566854"/>
    <w:rsid w:val="0059552A"/>
    <w:rsid w:val="005A34CE"/>
    <w:rsid w:val="005A354D"/>
    <w:rsid w:val="005A42AD"/>
    <w:rsid w:val="005A6694"/>
    <w:rsid w:val="005C755C"/>
    <w:rsid w:val="005D0EBE"/>
    <w:rsid w:val="005D4386"/>
    <w:rsid w:val="005D7777"/>
    <w:rsid w:val="005F0D9E"/>
    <w:rsid w:val="00621321"/>
    <w:rsid w:val="00636050"/>
    <w:rsid w:val="00637686"/>
    <w:rsid w:val="00655A3F"/>
    <w:rsid w:val="00662002"/>
    <w:rsid w:val="00664AC0"/>
    <w:rsid w:val="00677682"/>
    <w:rsid w:val="006813E5"/>
    <w:rsid w:val="00686D11"/>
    <w:rsid w:val="00695435"/>
    <w:rsid w:val="006A0107"/>
    <w:rsid w:val="006A223D"/>
    <w:rsid w:val="006B179B"/>
    <w:rsid w:val="006D0D89"/>
    <w:rsid w:val="006E3E17"/>
    <w:rsid w:val="00736A4B"/>
    <w:rsid w:val="0075106C"/>
    <w:rsid w:val="007530C3"/>
    <w:rsid w:val="007602A2"/>
    <w:rsid w:val="0079368F"/>
    <w:rsid w:val="007B2650"/>
    <w:rsid w:val="007C1EDA"/>
    <w:rsid w:val="007F0936"/>
    <w:rsid w:val="00807BDA"/>
    <w:rsid w:val="00872B80"/>
    <w:rsid w:val="00952C2D"/>
    <w:rsid w:val="0095744D"/>
    <w:rsid w:val="009A2353"/>
    <w:rsid w:val="009C0990"/>
    <w:rsid w:val="009C6155"/>
    <w:rsid w:val="009D13A0"/>
    <w:rsid w:val="009E23CE"/>
    <w:rsid w:val="009E7D24"/>
    <w:rsid w:val="009F3BF0"/>
    <w:rsid w:val="00A1253B"/>
    <w:rsid w:val="00A127BC"/>
    <w:rsid w:val="00A30268"/>
    <w:rsid w:val="00A34316"/>
    <w:rsid w:val="00A37930"/>
    <w:rsid w:val="00A55883"/>
    <w:rsid w:val="00A6008D"/>
    <w:rsid w:val="00A7342B"/>
    <w:rsid w:val="00A812CE"/>
    <w:rsid w:val="00A87709"/>
    <w:rsid w:val="00AB7B62"/>
    <w:rsid w:val="00AC2E1C"/>
    <w:rsid w:val="00AC4A1B"/>
    <w:rsid w:val="00AD0138"/>
    <w:rsid w:val="00AD5CE3"/>
    <w:rsid w:val="00AF059A"/>
    <w:rsid w:val="00AF08C3"/>
    <w:rsid w:val="00AF4458"/>
    <w:rsid w:val="00B119CA"/>
    <w:rsid w:val="00B44D6F"/>
    <w:rsid w:val="00B4639B"/>
    <w:rsid w:val="00B56BFA"/>
    <w:rsid w:val="00B64EC5"/>
    <w:rsid w:val="00B7304D"/>
    <w:rsid w:val="00B76744"/>
    <w:rsid w:val="00B91C02"/>
    <w:rsid w:val="00B9442C"/>
    <w:rsid w:val="00BE2BC3"/>
    <w:rsid w:val="00BE3B46"/>
    <w:rsid w:val="00BE4027"/>
    <w:rsid w:val="00BF0470"/>
    <w:rsid w:val="00C114AA"/>
    <w:rsid w:val="00C21C0D"/>
    <w:rsid w:val="00C33D95"/>
    <w:rsid w:val="00C431B1"/>
    <w:rsid w:val="00C84431"/>
    <w:rsid w:val="00C849E2"/>
    <w:rsid w:val="00CB5DA5"/>
    <w:rsid w:val="00CC269F"/>
    <w:rsid w:val="00CE012D"/>
    <w:rsid w:val="00D02B6A"/>
    <w:rsid w:val="00D0716B"/>
    <w:rsid w:val="00D14F5C"/>
    <w:rsid w:val="00D17B2C"/>
    <w:rsid w:val="00D72DF3"/>
    <w:rsid w:val="00D941F8"/>
    <w:rsid w:val="00D967FD"/>
    <w:rsid w:val="00DA5501"/>
    <w:rsid w:val="00DB073D"/>
    <w:rsid w:val="00DC1753"/>
    <w:rsid w:val="00DE1B7C"/>
    <w:rsid w:val="00DF305A"/>
    <w:rsid w:val="00E23C93"/>
    <w:rsid w:val="00E24930"/>
    <w:rsid w:val="00E317C0"/>
    <w:rsid w:val="00E33D3E"/>
    <w:rsid w:val="00E417C5"/>
    <w:rsid w:val="00E45B93"/>
    <w:rsid w:val="00E87855"/>
    <w:rsid w:val="00EA4813"/>
    <w:rsid w:val="00EB7035"/>
    <w:rsid w:val="00EE519F"/>
    <w:rsid w:val="00F01571"/>
    <w:rsid w:val="00F170BC"/>
    <w:rsid w:val="00F632D2"/>
    <w:rsid w:val="00F945CD"/>
    <w:rsid w:val="00F95E58"/>
    <w:rsid w:val="00FA2785"/>
    <w:rsid w:val="00FA7EB3"/>
    <w:rsid w:val="00FD4E8E"/>
    <w:rsid w:val="00FF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2128"/>
  <w15:docId w15:val="{4024801C-FA53-4119-BD34-9C304202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8C3"/>
  </w:style>
  <w:style w:type="paragraph" w:styleId="Heading1">
    <w:name w:val="heading 1"/>
    <w:basedOn w:val="Normal"/>
    <w:next w:val="Normal"/>
    <w:link w:val="Heading1Char"/>
    <w:qFormat/>
    <w:rsid w:val="00662002"/>
    <w:pPr>
      <w:keepNext/>
      <w:keepLines/>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A34CE"/>
    <w:pPr>
      <w:keepNext/>
      <w:keepLines/>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62002"/>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
    <w:name w:val="33"/>
    <w:basedOn w:val="Normal"/>
    <w:qFormat/>
    <w:rsid w:val="0011465C"/>
    <w:pPr>
      <w:spacing w:before="120" w:after="0" w:line="360" w:lineRule="auto"/>
    </w:pPr>
    <w:rPr>
      <w:rFonts w:ascii="Times New Roman" w:eastAsia="Times New Roman" w:hAnsi="Times New Roman" w:cs="Times New Roman"/>
      <w:b/>
      <w:sz w:val="28"/>
      <w:szCs w:val="28"/>
    </w:rPr>
  </w:style>
  <w:style w:type="paragraph" w:customStyle="1" w:styleId="3">
    <w:name w:val="3"/>
    <w:basedOn w:val="BodyText2"/>
    <w:rsid w:val="0011465C"/>
    <w:pPr>
      <w:spacing w:after="0" w:line="360" w:lineRule="auto"/>
      <w:ind w:right="36"/>
      <w:jc w:val="both"/>
    </w:pPr>
    <w:rPr>
      <w:rFonts w:ascii="Times New Roman" w:eastAsia="Times New Roman" w:hAnsi="Times New Roman" w:cs="Times New Roman"/>
      <w:b/>
      <w:bCs/>
      <w:sz w:val="28"/>
      <w:szCs w:val="28"/>
    </w:rPr>
  </w:style>
  <w:style w:type="paragraph" w:styleId="ListParagraph">
    <w:name w:val="List Paragraph"/>
    <w:basedOn w:val="Normal"/>
    <w:link w:val="ListParagraphChar"/>
    <w:qFormat/>
    <w:rsid w:val="0011465C"/>
    <w:pPr>
      <w:ind w:left="720"/>
      <w:contextualSpacing/>
    </w:pPr>
    <w:rPr>
      <w:rFonts w:ascii="Calibri" w:eastAsia="Times New Roman" w:hAnsi="Calibri" w:cs="Times New Roman"/>
    </w:rPr>
  </w:style>
  <w:style w:type="paragraph" w:customStyle="1" w:styleId="44">
    <w:name w:val="44"/>
    <w:basedOn w:val="ListParagraph"/>
    <w:qFormat/>
    <w:rsid w:val="0011465C"/>
    <w:pPr>
      <w:tabs>
        <w:tab w:val="left" w:pos="540"/>
      </w:tabs>
      <w:spacing w:before="120" w:after="0" w:line="360" w:lineRule="auto"/>
      <w:ind w:left="0"/>
      <w:contextualSpacing w:val="0"/>
      <w:jc w:val="both"/>
    </w:pPr>
    <w:rPr>
      <w:rFonts w:ascii="Times New Roman" w:hAnsi="Times New Roman"/>
      <w:i/>
      <w:sz w:val="28"/>
      <w:szCs w:val="28"/>
    </w:rPr>
  </w:style>
  <w:style w:type="paragraph" w:styleId="BodyText2">
    <w:name w:val="Body Text 2"/>
    <w:basedOn w:val="Normal"/>
    <w:link w:val="BodyText2Char"/>
    <w:uiPriority w:val="99"/>
    <w:semiHidden/>
    <w:unhideWhenUsed/>
    <w:rsid w:val="0011465C"/>
    <w:pPr>
      <w:spacing w:after="120" w:line="480" w:lineRule="auto"/>
    </w:pPr>
  </w:style>
  <w:style w:type="character" w:customStyle="1" w:styleId="BodyText2Char">
    <w:name w:val="Body Text 2 Char"/>
    <w:basedOn w:val="DefaultParagraphFont"/>
    <w:link w:val="BodyText2"/>
    <w:uiPriority w:val="99"/>
    <w:semiHidden/>
    <w:rsid w:val="0011465C"/>
  </w:style>
  <w:style w:type="paragraph" w:styleId="BalloonText">
    <w:name w:val="Balloon Text"/>
    <w:basedOn w:val="Normal"/>
    <w:link w:val="BalloonTextChar"/>
    <w:uiPriority w:val="99"/>
    <w:semiHidden/>
    <w:unhideWhenUsed/>
    <w:rsid w:val="007B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650"/>
    <w:rPr>
      <w:rFonts w:ascii="Tahoma" w:hAnsi="Tahoma" w:cs="Tahoma"/>
      <w:sz w:val="16"/>
      <w:szCs w:val="16"/>
    </w:rPr>
  </w:style>
  <w:style w:type="paragraph" w:customStyle="1" w:styleId="EndNoteBibliographyTitle">
    <w:name w:val="EndNote Bibliography Title"/>
    <w:basedOn w:val="Normal"/>
    <w:link w:val="EndNoteBibliographyTitleChar"/>
    <w:rsid w:val="00E23C93"/>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E23C93"/>
    <w:rPr>
      <w:rFonts w:ascii="Calibri" w:eastAsia="Times New Roman" w:hAnsi="Calibri" w:cs="Times New Roman"/>
    </w:rPr>
  </w:style>
  <w:style w:type="character" w:customStyle="1" w:styleId="EndNoteBibliographyTitleChar">
    <w:name w:val="EndNote Bibliography Title Char"/>
    <w:basedOn w:val="ListParagraphChar"/>
    <w:link w:val="EndNoteBibliographyTitle"/>
    <w:rsid w:val="00E23C93"/>
    <w:rPr>
      <w:rFonts w:ascii="Calibri" w:eastAsia="Times New Roman" w:hAnsi="Calibri" w:cs="Calibri"/>
      <w:noProof/>
    </w:rPr>
  </w:style>
  <w:style w:type="paragraph" w:customStyle="1" w:styleId="EndNoteBibliography">
    <w:name w:val="EndNote Bibliography"/>
    <w:basedOn w:val="Normal"/>
    <w:link w:val="EndNoteBibliographyChar"/>
    <w:rsid w:val="00E23C93"/>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E23C93"/>
    <w:rPr>
      <w:rFonts w:ascii="Calibri" w:eastAsia="Times New Roman" w:hAnsi="Calibri" w:cs="Calibri"/>
      <w:noProof/>
    </w:rPr>
  </w:style>
  <w:style w:type="character" w:styleId="Hyperlink">
    <w:name w:val="Hyperlink"/>
    <w:basedOn w:val="DefaultParagraphFont"/>
    <w:uiPriority w:val="99"/>
    <w:unhideWhenUsed/>
    <w:rsid w:val="00E23C93"/>
    <w:rPr>
      <w:color w:val="0000FF" w:themeColor="hyperlink"/>
      <w:u w:val="single"/>
    </w:rPr>
  </w:style>
  <w:style w:type="paragraph" w:styleId="Header">
    <w:name w:val="header"/>
    <w:basedOn w:val="Normal"/>
    <w:link w:val="HeaderChar"/>
    <w:uiPriority w:val="99"/>
    <w:unhideWhenUsed/>
    <w:rsid w:val="00566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854"/>
  </w:style>
  <w:style w:type="paragraph" w:styleId="Footer">
    <w:name w:val="footer"/>
    <w:basedOn w:val="Normal"/>
    <w:link w:val="FooterChar"/>
    <w:uiPriority w:val="99"/>
    <w:unhideWhenUsed/>
    <w:rsid w:val="00566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854"/>
  </w:style>
  <w:style w:type="character" w:styleId="UnresolvedMention">
    <w:name w:val="Unresolved Mention"/>
    <w:basedOn w:val="DefaultParagraphFont"/>
    <w:uiPriority w:val="99"/>
    <w:semiHidden/>
    <w:unhideWhenUsed/>
    <w:rsid w:val="00AC2E1C"/>
    <w:rPr>
      <w:color w:val="605E5C"/>
      <w:shd w:val="clear" w:color="auto" w:fill="E1DFDD"/>
    </w:rPr>
  </w:style>
  <w:style w:type="table" w:styleId="TableGrid">
    <w:name w:val="Table Grid"/>
    <w:basedOn w:val="TableNormal"/>
    <w:uiPriority w:val="59"/>
    <w:rsid w:val="005A34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34C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6620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6620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ncs29dhy@gmail.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mailto:ncs29dhy@gmail.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Đặc điểm tái phát/kháng trị</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77-4737-81FB-BD5C5DC6289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77-4737-81FB-BD5C5DC6289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Tái phát</c:v>
                </c:pt>
                <c:pt idx="1">
                  <c:v>Kháng trị</c:v>
                </c:pt>
              </c:strCache>
            </c:strRef>
          </c:cat>
          <c:val>
            <c:numRef>
              <c:f>Sheet1!$B$2:$B$3</c:f>
              <c:numCache>
                <c:formatCode>General</c:formatCode>
                <c:ptCount val="2"/>
                <c:pt idx="0">
                  <c:v>53</c:v>
                </c:pt>
                <c:pt idx="1">
                  <c:v>30</c:v>
                </c:pt>
              </c:numCache>
            </c:numRef>
          </c:val>
          <c:extLst>
            <c:ext xmlns:c16="http://schemas.microsoft.com/office/drawing/2014/chart" uri="{C3380CC4-5D6E-409C-BE32-E72D297353CC}">
              <c16:uniqueId val="{00000004-D977-4737-81FB-BD5C5DC6289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3901</Words>
  <Characters>22239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dvd</dc:creator>
  <cp:lastModifiedBy>Nguyen Tung</cp:lastModifiedBy>
  <cp:revision>2</cp:revision>
  <cp:lastPrinted>2022-12-09T03:58:00Z</cp:lastPrinted>
  <dcterms:created xsi:type="dcterms:W3CDTF">2024-08-15T10:39:00Z</dcterms:created>
  <dcterms:modified xsi:type="dcterms:W3CDTF">2024-08-15T10:39:00Z</dcterms:modified>
</cp:coreProperties>
</file>