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D2A0" w14:textId="7C2819E5" w:rsidR="002F11E2" w:rsidRPr="001A1197" w:rsidRDefault="002F11E2" w:rsidP="00C410BF">
      <w:pPr>
        <w:spacing w:before="0" w:after="0"/>
        <w:jc w:val="center"/>
        <w:rPr>
          <w:b/>
          <w:bCs/>
        </w:rPr>
      </w:pPr>
      <w:r w:rsidRPr="001A1197">
        <w:rPr>
          <w:b/>
          <w:bCs/>
        </w:rPr>
        <w:t xml:space="preserve">The effectiveness of the cell block technique in the cytological diagnosis of </w:t>
      </w:r>
      <w:bookmarkStart w:id="0" w:name="_Hlk193514977"/>
      <w:r w:rsidRPr="001A1197">
        <w:rPr>
          <w:b/>
          <w:bCs/>
        </w:rPr>
        <w:t xml:space="preserve">pleural effusion </w:t>
      </w:r>
      <w:bookmarkEnd w:id="0"/>
      <w:r w:rsidRPr="001A1197">
        <w:rPr>
          <w:b/>
          <w:bCs/>
        </w:rPr>
        <w:t>at Ha Dong General Hospital from 2021 to 2024</w:t>
      </w:r>
    </w:p>
    <w:p w14:paraId="1AF255CA" w14:textId="77777777" w:rsidR="00AE2FF6" w:rsidRPr="001A1197" w:rsidRDefault="002F11E2" w:rsidP="00C410BF">
      <w:pPr>
        <w:spacing w:before="0" w:after="0"/>
        <w:jc w:val="right"/>
        <w:rPr>
          <w:b/>
          <w:bCs/>
          <w:sz w:val="24"/>
          <w:szCs w:val="24"/>
        </w:rPr>
      </w:pPr>
      <w:r w:rsidRPr="001A1197">
        <w:rPr>
          <w:b/>
          <w:bCs/>
          <w:sz w:val="24"/>
          <w:szCs w:val="24"/>
        </w:rPr>
        <w:t>Le Dinh Chinh</w:t>
      </w:r>
      <w:r w:rsidRPr="001A1197">
        <w:rPr>
          <w:b/>
          <w:bCs/>
          <w:sz w:val="24"/>
          <w:szCs w:val="24"/>
          <w:vertAlign w:val="superscript"/>
        </w:rPr>
        <w:t>1*</w:t>
      </w:r>
      <w:r w:rsidRPr="001A1197">
        <w:rPr>
          <w:b/>
          <w:bCs/>
          <w:sz w:val="24"/>
          <w:szCs w:val="24"/>
        </w:rPr>
        <w:t>, Ngo Van Lang</w:t>
      </w:r>
      <w:r w:rsidRPr="001A1197">
        <w:rPr>
          <w:b/>
          <w:bCs/>
          <w:sz w:val="24"/>
          <w:szCs w:val="24"/>
          <w:vertAlign w:val="superscript"/>
        </w:rPr>
        <w:t>2*</w:t>
      </w:r>
      <w:r w:rsidRPr="001A1197">
        <w:rPr>
          <w:b/>
          <w:bCs/>
          <w:sz w:val="24"/>
          <w:szCs w:val="24"/>
        </w:rPr>
        <w:t>, Nguyen Thi Hanh</w:t>
      </w:r>
      <w:r w:rsidRPr="001A1197">
        <w:rPr>
          <w:b/>
          <w:bCs/>
          <w:sz w:val="24"/>
          <w:szCs w:val="24"/>
          <w:vertAlign w:val="superscript"/>
        </w:rPr>
        <w:t>1</w:t>
      </w:r>
      <w:r w:rsidRPr="001A1197">
        <w:rPr>
          <w:b/>
          <w:bCs/>
          <w:sz w:val="24"/>
          <w:szCs w:val="24"/>
        </w:rPr>
        <w:t>, Nguyen Ha Trang</w:t>
      </w:r>
      <w:r w:rsidRPr="001A1197">
        <w:rPr>
          <w:b/>
          <w:bCs/>
          <w:sz w:val="24"/>
          <w:szCs w:val="24"/>
          <w:vertAlign w:val="superscript"/>
        </w:rPr>
        <w:t>3</w:t>
      </w:r>
      <w:r w:rsidRPr="001A1197">
        <w:rPr>
          <w:b/>
          <w:bCs/>
          <w:sz w:val="24"/>
          <w:szCs w:val="24"/>
        </w:rPr>
        <w:t xml:space="preserve">, </w:t>
      </w:r>
    </w:p>
    <w:p w14:paraId="55AE01CA" w14:textId="5A200F28" w:rsidR="002F11E2" w:rsidRPr="001A1197" w:rsidRDefault="00DC2C91" w:rsidP="00C410BF">
      <w:pPr>
        <w:spacing w:before="0" w:after="0"/>
        <w:jc w:val="right"/>
        <w:rPr>
          <w:b/>
          <w:bCs/>
          <w:sz w:val="24"/>
          <w:szCs w:val="24"/>
        </w:rPr>
      </w:pPr>
      <w:r w:rsidRPr="001A1197">
        <w:rPr>
          <w:b/>
          <w:bCs/>
          <w:sz w:val="24"/>
          <w:szCs w:val="24"/>
        </w:rPr>
        <w:t>Le</w:t>
      </w:r>
      <w:r w:rsidR="002F11E2" w:rsidRPr="001A1197">
        <w:rPr>
          <w:b/>
          <w:bCs/>
          <w:sz w:val="24"/>
          <w:szCs w:val="24"/>
        </w:rPr>
        <w:t xml:space="preserve"> Thi Tham</w:t>
      </w:r>
      <w:r w:rsidR="002F11E2" w:rsidRPr="001A1197">
        <w:rPr>
          <w:b/>
          <w:bCs/>
          <w:sz w:val="24"/>
          <w:szCs w:val="24"/>
          <w:vertAlign w:val="superscript"/>
        </w:rPr>
        <w:t>4</w:t>
      </w:r>
    </w:p>
    <w:p w14:paraId="0F878F08" w14:textId="77777777" w:rsidR="002F11E2" w:rsidRPr="001A1197" w:rsidRDefault="002F11E2" w:rsidP="00C410BF">
      <w:pPr>
        <w:spacing w:before="0" w:after="0" w:line="288" w:lineRule="auto"/>
        <w:jc w:val="right"/>
        <w:rPr>
          <w:i/>
          <w:iCs/>
          <w:sz w:val="24"/>
          <w:szCs w:val="24"/>
        </w:rPr>
      </w:pPr>
      <w:r w:rsidRPr="001A1197">
        <w:rPr>
          <w:bCs/>
          <w:i/>
          <w:iCs/>
          <w:sz w:val="24"/>
          <w:szCs w:val="24"/>
          <w:vertAlign w:val="superscript"/>
        </w:rPr>
        <w:t>1</w:t>
      </w:r>
      <w:r w:rsidRPr="001A1197">
        <w:rPr>
          <w:i/>
          <w:iCs/>
          <w:sz w:val="24"/>
          <w:szCs w:val="24"/>
        </w:rPr>
        <w:t>Ha Dong General Hospital</w:t>
      </w:r>
    </w:p>
    <w:p w14:paraId="5E86E7EB" w14:textId="77777777" w:rsidR="002F11E2" w:rsidRPr="001A1197" w:rsidRDefault="002F11E2" w:rsidP="00C410BF">
      <w:pPr>
        <w:spacing w:before="0" w:after="0" w:line="288" w:lineRule="auto"/>
        <w:jc w:val="right"/>
        <w:rPr>
          <w:i/>
          <w:iCs/>
          <w:sz w:val="24"/>
          <w:szCs w:val="24"/>
        </w:rPr>
      </w:pPr>
      <w:r w:rsidRPr="001A1197">
        <w:rPr>
          <w:bCs/>
          <w:i/>
          <w:iCs/>
          <w:sz w:val="24"/>
          <w:szCs w:val="24"/>
          <w:vertAlign w:val="superscript"/>
        </w:rPr>
        <w:t>2</w:t>
      </w:r>
      <w:r w:rsidRPr="001A1197">
        <w:rPr>
          <w:i/>
          <w:iCs/>
          <w:sz w:val="24"/>
          <w:szCs w:val="24"/>
        </w:rPr>
        <w:t>Phenikaa University</w:t>
      </w:r>
    </w:p>
    <w:p w14:paraId="787BFD2E" w14:textId="77777777" w:rsidR="002F11E2" w:rsidRPr="001A1197" w:rsidRDefault="002F11E2" w:rsidP="00C410BF">
      <w:pPr>
        <w:spacing w:before="0" w:after="0" w:line="288" w:lineRule="auto"/>
        <w:jc w:val="right"/>
        <w:rPr>
          <w:bCs/>
          <w:i/>
          <w:iCs/>
          <w:sz w:val="24"/>
          <w:szCs w:val="24"/>
        </w:rPr>
      </w:pPr>
      <w:r w:rsidRPr="001A1197">
        <w:rPr>
          <w:bCs/>
          <w:i/>
          <w:iCs/>
          <w:sz w:val="24"/>
          <w:szCs w:val="24"/>
          <w:vertAlign w:val="superscript"/>
        </w:rPr>
        <w:t xml:space="preserve"> 3</w:t>
      </w:r>
      <w:r w:rsidRPr="001A1197">
        <w:rPr>
          <w:spacing w:val="3"/>
          <w:sz w:val="24"/>
          <w:szCs w:val="24"/>
          <w:shd w:val="clear" w:color="auto" w:fill="FFFFFF"/>
        </w:rPr>
        <w:t xml:space="preserve"> </w:t>
      </w:r>
      <w:r w:rsidRPr="001A1197">
        <w:rPr>
          <w:bCs/>
          <w:i/>
          <w:iCs/>
          <w:sz w:val="24"/>
          <w:szCs w:val="24"/>
        </w:rPr>
        <w:t xml:space="preserve">Phenikaa University Hospital </w:t>
      </w:r>
    </w:p>
    <w:p w14:paraId="47ACD39C" w14:textId="77777777" w:rsidR="002F11E2" w:rsidRPr="001A1197" w:rsidRDefault="002F11E2" w:rsidP="00C410BF">
      <w:pPr>
        <w:spacing w:before="0" w:after="0" w:line="288" w:lineRule="auto"/>
        <w:jc w:val="right"/>
        <w:rPr>
          <w:i/>
          <w:iCs/>
          <w:sz w:val="24"/>
          <w:szCs w:val="24"/>
        </w:rPr>
      </w:pPr>
      <w:r w:rsidRPr="001A1197">
        <w:rPr>
          <w:bCs/>
          <w:i/>
          <w:iCs/>
          <w:sz w:val="24"/>
          <w:szCs w:val="24"/>
          <w:vertAlign w:val="superscript"/>
        </w:rPr>
        <w:t>4</w:t>
      </w:r>
      <w:r w:rsidRPr="001A1197">
        <w:rPr>
          <w:i/>
          <w:iCs/>
          <w:sz w:val="24"/>
          <w:szCs w:val="24"/>
        </w:rPr>
        <w:t xml:space="preserve"> Pham Ngoc Thach General Hospital belongs Ha Noi University of Public Health</w:t>
      </w:r>
    </w:p>
    <w:p w14:paraId="21084B2A" w14:textId="77777777" w:rsidR="002F11E2" w:rsidRPr="001A1197" w:rsidRDefault="002F11E2" w:rsidP="00C410BF">
      <w:pPr>
        <w:spacing w:before="0" w:after="0" w:line="288" w:lineRule="auto"/>
        <w:rPr>
          <w:rFonts w:eastAsia="Batang"/>
          <w:sz w:val="24"/>
          <w:szCs w:val="24"/>
          <w:lang w:eastAsia="ko-KR"/>
        </w:rPr>
      </w:pPr>
      <w:r w:rsidRPr="001A1197">
        <w:rPr>
          <w:rFonts w:eastAsia="Batang"/>
          <w:i/>
          <w:iCs/>
          <w:sz w:val="24"/>
          <w:szCs w:val="24"/>
          <w:lang w:eastAsia="ko-KR"/>
        </w:rPr>
        <w:t>First Authors</w:t>
      </w:r>
    </w:p>
    <w:p w14:paraId="56384A78" w14:textId="77777777" w:rsidR="002F11E2" w:rsidRPr="001A1197" w:rsidRDefault="002F11E2" w:rsidP="00C410BF">
      <w:pPr>
        <w:spacing w:before="0" w:after="0" w:line="288" w:lineRule="auto"/>
        <w:rPr>
          <w:rFonts w:eastAsia="Batang"/>
          <w:sz w:val="24"/>
          <w:szCs w:val="24"/>
          <w:lang w:eastAsia="ko-KR"/>
        </w:rPr>
      </w:pPr>
      <w:r w:rsidRPr="001A1197">
        <w:rPr>
          <w:rFonts w:eastAsia="Batang"/>
          <w:sz w:val="24"/>
          <w:szCs w:val="24"/>
          <w:lang w:eastAsia="ko-KR"/>
        </w:rPr>
        <w:t>1. Le Dinh Chinh</w:t>
      </w:r>
    </w:p>
    <w:p w14:paraId="488DD0FC" w14:textId="77777777" w:rsidR="002F11E2" w:rsidRPr="001A1197" w:rsidRDefault="002F11E2" w:rsidP="00C410BF">
      <w:pPr>
        <w:numPr>
          <w:ilvl w:val="0"/>
          <w:numId w:val="5"/>
        </w:numPr>
        <w:spacing w:before="0" w:after="0" w:line="288" w:lineRule="auto"/>
        <w:rPr>
          <w:rFonts w:eastAsia="Batang"/>
          <w:i/>
          <w:iCs/>
          <w:sz w:val="24"/>
          <w:szCs w:val="24"/>
          <w:lang w:eastAsia="ko-KR"/>
        </w:rPr>
      </w:pPr>
      <w:r w:rsidRPr="001A1197">
        <w:rPr>
          <w:rFonts w:eastAsia="Batang"/>
          <w:sz w:val="24"/>
          <w:szCs w:val="24"/>
          <w:lang w:eastAsia="ko-KR"/>
        </w:rPr>
        <w:t>Address:</w:t>
      </w:r>
      <w:r w:rsidRPr="001A1197">
        <w:rPr>
          <w:bCs/>
          <w:i/>
          <w:iCs/>
          <w:sz w:val="24"/>
          <w:szCs w:val="24"/>
          <w:vertAlign w:val="superscript"/>
        </w:rPr>
        <w:t xml:space="preserve"> </w:t>
      </w:r>
      <w:r w:rsidRPr="001A1197">
        <w:rPr>
          <w:rFonts w:eastAsia="Batang"/>
          <w:sz w:val="24"/>
          <w:szCs w:val="24"/>
          <w:lang w:eastAsia="ko-KR"/>
        </w:rPr>
        <w:t>Ha Dong General Hospital, No. 2 Be Van Dan Street, Quang Trung Ward, Ha Dong District, Hanoi City.</w:t>
      </w:r>
    </w:p>
    <w:p w14:paraId="039722E6" w14:textId="77777777" w:rsidR="002F11E2" w:rsidRPr="001A1197" w:rsidRDefault="002F11E2" w:rsidP="00C410BF">
      <w:pPr>
        <w:numPr>
          <w:ilvl w:val="0"/>
          <w:numId w:val="5"/>
        </w:numPr>
        <w:spacing w:before="0" w:after="0" w:line="288" w:lineRule="auto"/>
        <w:rPr>
          <w:rFonts w:eastAsia="Batang"/>
          <w:sz w:val="24"/>
          <w:szCs w:val="24"/>
          <w:lang w:eastAsia="ko-KR"/>
        </w:rPr>
      </w:pPr>
      <w:r w:rsidRPr="001A1197">
        <w:rPr>
          <w:rFonts w:eastAsia="Batang"/>
          <w:sz w:val="24"/>
          <w:szCs w:val="24"/>
          <w:lang w:eastAsia="ko-KR"/>
        </w:rPr>
        <w:t>Phone number: 0974080616</w:t>
      </w:r>
    </w:p>
    <w:p w14:paraId="582292BE" w14:textId="77777777" w:rsidR="002F11E2" w:rsidRPr="001A1197" w:rsidRDefault="002F11E2" w:rsidP="00C410BF">
      <w:pPr>
        <w:numPr>
          <w:ilvl w:val="0"/>
          <w:numId w:val="5"/>
        </w:numPr>
        <w:spacing w:before="0" w:after="0" w:line="288" w:lineRule="auto"/>
        <w:rPr>
          <w:rFonts w:eastAsia="Batang"/>
          <w:sz w:val="24"/>
          <w:szCs w:val="24"/>
          <w:lang w:eastAsia="ko-KR"/>
        </w:rPr>
      </w:pPr>
      <w:r w:rsidRPr="001A1197">
        <w:rPr>
          <w:rFonts w:eastAsia="Batang"/>
          <w:sz w:val="24"/>
          <w:szCs w:val="24"/>
          <w:lang w:eastAsia="ko-KR"/>
        </w:rPr>
        <w:t xml:space="preserve">Email: </w:t>
      </w:r>
      <w:hyperlink r:id="rId5" w:history="1">
        <w:r w:rsidRPr="001A1197">
          <w:rPr>
            <w:rStyle w:val="Hyperlink"/>
            <w:rFonts w:eastAsia="Batang"/>
            <w:color w:val="auto"/>
            <w:sz w:val="24"/>
            <w:szCs w:val="24"/>
            <w:lang w:eastAsia="ko-KR"/>
          </w:rPr>
          <w:t>lechinh051964@gmail.com</w:t>
        </w:r>
      </w:hyperlink>
    </w:p>
    <w:p w14:paraId="41645DE9" w14:textId="77777777" w:rsidR="002F11E2" w:rsidRPr="001A1197" w:rsidRDefault="002F11E2" w:rsidP="00C410BF">
      <w:pPr>
        <w:spacing w:before="0" w:after="0" w:line="288" w:lineRule="auto"/>
        <w:rPr>
          <w:rFonts w:eastAsia="Batang"/>
          <w:sz w:val="24"/>
          <w:szCs w:val="24"/>
          <w:lang w:eastAsia="ko-KR"/>
        </w:rPr>
      </w:pPr>
      <w:r w:rsidRPr="001A1197">
        <w:rPr>
          <w:rFonts w:eastAsia="Batang"/>
          <w:sz w:val="24"/>
          <w:szCs w:val="24"/>
          <w:lang w:eastAsia="ko-KR"/>
        </w:rPr>
        <w:t>2. Ngo Van Lang</w:t>
      </w:r>
    </w:p>
    <w:p w14:paraId="42739A26" w14:textId="77777777" w:rsidR="002F11E2" w:rsidRPr="001A1197" w:rsidRDefault="002F11E2" w:rsidP="00C410BF">
      <w:pPr>
        <w:numPr>
          <w:ilvl w:val="0"/>
          <w:numId w:val="6"/>
        </w:numPr>
        <w:spacing w:before="0" w:after="0" w:line="288" w:lineRule="auto"/>
        <w:rPr>
          <w:rFonts w:eastAsia="Batang"/>
          <w:sz w:val="24"/>
          <w:szCs w:val="24"/>
          <w:lang w:eastAsia="ko-KR"/>
        </w:rPr>
      </w:pPr>
      <w:r w:rsidRPr="001A1197">
        <w:rPr>
          <w:rFonts w:eastAsia="Batang"/>
          <w:sz w:val="24"/>
          <w:szCs w:val="24"/>
          <w:lang w:eastAsia="ko-KR"/>
        </w:rPr>
        <w:t xml:space="preserve">Address: </w:t>
      </w:r>
      <w:r w:rsidRPr="001A1197">
        <w:rPr>
          <w:rFonts w:eastAsia="Batang"/>
          <w:bCs/>
          <w:sz w:val="24"/>
          <w:szCs w:val="24"/>
          <w:lang w:eastAsia="ko-KR"/>
        </w:rPr>
        <w:t>PHENIKAA University, To Huu Street, Yen Nghia Ward, Ha Dong District, Hanoi City</w:t>
      </w:r>
      <w:r w:rsidRPr="001A1197">
        <w:rPr>
          <w:rFonts w:eastAsia="Batang"/>
          <w:sz w:val="24"/>
          <w:szCs w:val="24"/>
          <w:lang w:eastAsia="ko-KR"/>
        </w:rPr>
        <w:t xml:space="preserve"> </w:t>
      </w:r>
    </w:p>
    <w:p w14:paraId="67ED69DC" w14:textId="77777777" w:rsidR="002F11E2" w:rsidRPr="001A1197" w:rsidRDefault="002F11E2" w:rsidP="00C410BF">
      <w:pPr>
        <w:numPr>
          <w:ilvl w:val="0"/>
          <w:numId w:val="6"/>
        </w:numPr>
        <w:spacing w:before="0" w:after="0" w:line="288" w:lineRule="auto"/>
        <w:rPr>
          <w:rFonts w:eastAsia="Batang"/>
          <w:sz w:val="24"/>
          <w:szCs w:val="24"/>
          <w:lang w:eastAsia="ko-KR"/>
        </w:rPr>
      </w:pPr>
      <w:r w:rsidRPr="001A1197">
        <w:rPr>
          <w:rFonts w:eastAsia="Batang"/>
          <w:sz w:val="24"/>
          <w:szCs w:val="24"/>
          <w:lang w:eastAsia="ko-KR"/>
        </w:rPr>
        <w:t>Phone number: 0962273390</w:t>
      </w:r>
    </w:p>
    <w:p w14:paraId="1A0316C2" w14:textId="77777777" w:rsidR="002F11E2" w:rsidRPr="001A1197" w:rsidRDefault="002F11E2" w:rsidP="00C410BF">
      <w:pPr>
        <w:numPr>
          <w:ilvl w:val="0"/>
          <w:numId w:val="6"/>
        </w:numPr>
        <w:spacing w:before="0" w:after="0" w:line="288" w:lineRule="auto"/>
        <w:rPr>
          <w:rFonts w:eastAsia="Batang"/>
          <w:sz w:val="24"/>
          <w:szCs w:val="24"/>
          <w:lang w:eastAsia="ko-KR"/>
        </w:rPr>
      </w:pPr>
      <w:r w:rsidRPr="001A1197">
        <w:rPr>
          <w:rFonts w:eastAsia="Batang"/>
          <w:sz w:val="24"/>
          <w:szCs w:val="24"/>
          <w:lang w:eastAsia="ko-KR"/>
        </w:rPr>
        <w:t>Email: lang.ngovan@phenikaa-uni.edu.vn</w:t>
      </w:r>
    </w:p>
    <w:p w14:paraId="4C45E24B" w14:textId="77777777" w:rsidR="002F11E2" w:rsidRPr="001A1197" w:rsidRDefault="002F11E2" w:rsidP="00C410BF">
      <w:pPr>
        <w:spacing w:before="0" w:after="0"/>
        <w:rPr>
          <w:rFonts w:eastAsia="Batang"/>
          <w:b/>
          <w:bCs/>
          <w:sz w:val="22"/>
          <w:szCs w:val="22"/>
          <w:lang w:eastAsia="ko-KR"/>
        </w:rPr>
      </w:pPr>
      <w:r w:rsidRPr="001A1197">
        <w:rPr>
          <w:rFonts w:eastAsia="Batang"/>
          <w:b/>
          <w:bCs/>
          <w:sz w:val="22"/>
          <w:szCs w:val="22"/>
          <w:lang w:eastAsia="ko-KR"/>
        </w:rPr>
        <w:t>SUMMARY</w:t>
      </w:r>
    </w:p>
    <w:p w14:paraId="30072BFE" w14:textId="27E8D25A" w:rsidR="002F11E2" w:rsidRPr="001A1197" w:rsidRDefault="002F11E2" w:rsidP="00C410BF">
      <w:pPr>
        <w:spacing w:before="0" w:after="0"/>
        <w:rPr>
          <w:rFonts w:eastAsia="Batang"/>
          <w:sz w:val="22"/>
          <w:szCs w:val="22"/>
          <w:lang w:val="vi-VN" w:eastAsia="ko-KR"/>
        </w:rPr>
      </w:pPr>
      <w:r w:rsidRPr="001A1197">
        <w:rPr>
          <w:rFonts w:eastAsia="Batang"/>
          <w:b/>
          <w:bCs/>
          <w:i/>
          <w:iCs/>
          <w:sz w:val="22"/>
          <w:szCs w:val="22"/>
          <w:lang w:eastAsia="ko-KR"/>
        </w:rPr>
        <w:t>Aim</w:t>
      </w:r>
      <w:r w:rsidRPr="001A1197">
        <w:rPr>
          <w:rFonts w:eastAsia="Batang"/>
          <w:b/>
          <w:bCs/>
          <w:i/>
          <w:iCs/>
          <w:sz w:val="22"/>
          <w:szCs w:val="22"/>
          <w:lang w:val="vi-VN" w:eastAsia="ko-KR"/>
        </w:rPr>
        <w:t>s</w:t>
      </w:r>
      <w:r w:rsidRPr="001A1197">
        <w:rPr>
          <w:rFonts w:eastAsia="Batang"/>
          <w:i/>
          <w:iCs/>
          <w:sz w:val="22"/>
          <w:szCs w:val="22"/>
          <w:lang w:val="vi-VN" w:eastAsia="ko-KR"/>
        </w:rPr>
        <w:t>:</w:t>
      </w:r>
      <w:r w:rsidRPr="001A1197">
        <w:rPr>
          <w:rFonts w:eastAsia="Batang"/>
          <w:sz w:val="22"/>
          <w:szCs w:val="22"/>
          <w:lang w:val="vi-VN" w:eastAsia="ko-KR"/>
        </w:rPr>
        <w:t>(1) Compare the results of cell block examination and c</w:t>
      </w:r>
      <w:r w:rsidRPr="001A1197">
        <w:rPr>
          <w:rFonts w:eastAsia="Batang"/>
          <w:sz w:val="22"/>
          <w:szCs w:val="22"/>
          <w:lang w:eastAsia="ko-KR"/>
        </w:rPr>
        <w:t>e</w:t>
      </w:r>
      <w:r w:rsidR="007A11B0" w:rsidRPr="001A1197">
        <w:rPr>
          <w:rFonts w:eastAsia="Batang"/>
          <w:sz w:val="22"/>
          <w:szCs w:val="22"/>
          <w:lang w:eastAsia="ko-KR"/>
        </w:rPr>
        <w:t>l</w:t>
      </w:r>
      <w:r w:rsidRPr="001A1197">
        <w:rPr>
          <w:rFonts w:eastAsia="Batang"/>
          <w:sz w:val="22"/>
          <w:szCs w:val="22"/>
          <w:lang w:val="vi-VN" w:eastAsia="ko-KR"/>
        </w:rPr>
        <w:t>l smear cytology in diagnosing malignant pleural effusion at the Pathology Department of Ha Dong General Hospital from 2021 to 2024. (2) Identify factors associated with cytological diagnosis using the cell block technique for pleural effusion.</w:t>
      </w:r>
      <w:r w:rsidRPr="001A1197">
        <w:rPr>
          <w:rFonts w:eastAsia="Batang"/>
          <w:sz w:val="22"/>
          <w:szCs w:val="22"/>
          <w:lang w:eastAsia="ko-KR"/>
        </w:rPr>
        <w:t xml:space="preserve"> </w:t>
      </w:r>
      <w:r w:rsidRPr="001A1197">
        <w:rPr>
          <w:rFonts w:eastAsia="Batang"/>
          <w:b/>
          <w:bCs/>
          <w:i/>
          <w:iCs/>
          <w:sz w:val="22"/>
          <w:szCs w:val="22"/>
          <w:lang w:eastAsia="ko-KR"/>
        </w:rPr>
        <w:t>Materials and Methods</w:t>
      </w:r>
      <w:r w:rsidRPr="001A1197">
        <w:rPr>
          <w:rFonts w:eastAsia="Batang"/>
          <w:i/>
          <w:iCs/>
          <w:sz w:val="22"/>
          <w:szCs w:val="22"/>
          <w:lang w:val="vi-VN" w:eastAsia="ko-KR"/>
        </w:rPr>
        <w:t>:</w:t>
      </w:r>
      <w:r w:rsidRPr="001A1197">
        <w:rPr>
          <w:rFonts w:eastAsia="Batang"/>
          <w:sz w:val="22"/>
          <w:szCs w:val="22"/>
          <w:lang w:val="vi-VN" w:eastAsia="ko-KR"/>
        </w:rPr>
        <w:t xml:space="preserve"> A cross-sectional descriptive study was conducted on 176 pleural effusion samples at the Pathology Department of Ha Dong General Hospital from October 2021 to May 2024.</w:t>
      </w:r>
      <w:r w:rsidRPr="001A1197">
        <w:rPr>
          <w:rFonts w:eastAsia="Batang"/>
          <w:sz w:val="22"/>
          <w:szCs w:val="22"/>
          <w:lang w:eastAsia="ko-KR"/>
        </w:rPr>
        <w:t xml:space="preserve"> </w:t>
      </w:r>
      <w:r w:rsidRPr="001A1197">
        <w:rPr>
          <w:rFonts w:eastAsia="Batang"/>
          <w:b/>
          <w:bCs/>
          <w:i/>
          <w:iCs/>
          <w:sz w:val="22"/>
          <w:szCs w:val="22"/>
          <w:lang w:val="vi-VN" w:eastAsia="ko-KR"/>
        </w:rPr>
        <w:t>Results</w:t>
      </w:r>
      <w:r w:rsidRPr="001A1197">
        <w:rPr>
          <w:sz w:val="22"/>
          <w:szCs w:val="22"/>
        </w:rPr>
        <w:t xml:space="preserve"> </w:t>
      </w:r>
      <w:r w:rsidRPr="001A1197">
        <w:rPr>
          <w:rFonts w:eastAsia="Batang"/>
          <w:sz w:val="22"/>
          <w:szCs w:val="22"/>
          <w:lang w:val="vi-VN" w:eastAsia="ko-KR"/>
        </w:rPr>
        <w:t>The cell block technique detected malignancy in 22.1% of samples and suspected malignancy in 5.7%, whereas the cell smear technique identified malignancy in 7.4% and suspected malignancy in 2.3%. The cell block method detected more malignant and suspicious cases than the cell smear method (p&lt;0.05). The concordance rate between the two techniques was 79.6%. The malignancy rate was higher in males than in females (p&lt;0.05) and was significantly higher in cases with fluid volume &gt;500mL (p&lt;0.05).</w:t>
      </w:r>
      <w:r w:rsidRPr="001A1197">
        <w:rPr>
          <w:rFonts w:eastAsia="Batang"/>
          <w:sz w:val="22"/>
          <w:szCs w:val="22"/>
          <w:lang w:eastAsia="ko-KR"/>
        </w:rPr>
        <w:t xml:space="preserve"> </w:t>
      </w:r>
      <w:r w:rsidRPr="001A1197">
        <w:rPr>
          <w:rFonts w:eastAsia="Batang"/>
          <w:b/>
          <w:bCs/>
          <w:i/>
          <w:iCs/>
          <w:sz w:val="22"/>
          <w:szCs w:val="22"/>
          <w:lang w:val="vi-VN" w:eastAsia="ko-KR"/>
        </w:rPr>
        <w:t>Conclusion</w:t>
      </w:r>
      <w:r w:rsidRPr="001A1197">
        <w:rPr>
          <w:rFonts w:eastAsia="Batang"/>
          <w:i/>
          <w:iCs/>
          <w:sz w:val="22"/>
          <w:szCs w:val="22"/>
          <w:lang w:val="vi-VN" w:eastAsia="ko-KR"/>
        </w:rPr>
        <w:t>:</w:t>
      </w:r>
      <w:r w:rsidRPr="001A1197">
        <w:rPr>
          <w:rFonts w:eastAsia="Batang"/>
          <w:sz w:val="22"/>
          <w:szCs w:val="22"/>
          <w:lang w:val="vi-VN" w:eastAsia="ko-KR"/>
        </w:rPr>
        <w:t xml:space="preserve"> The cell block technique identified more malignant and suspicious cases than the cell smear technique in diagnosing malignant pleural effusion. A significant association was found between gender, fluid volume, and cytological diagnosis using the cell block technique.</w:t>
      </w:r>
    </w:p>
    <w:p w14:paraId="1E2F7376" w14:textId="66C0EE16" w:rsidR="002F11E2" w:rsidRPr="001A1197" w:rsidRDefault="002F11E2" w:rsidP="00C410BF">
      <w:pPr>
        <w:spacing w:before="0" w:after="0"/>
        <w:jc w:val="center"/>
        <w:rPr>
          <w:rFonts w:eastAsia="Batang"/>
          <w:i/>
          <w:iCs/>
          <w:sz w:val="22"/>
          <w:szCs w:val="22"/>
          <w:lang w:eastAsia="ko-KR"/>
        </w:rPr>
      </w:pPr>
      <w:r w:rsidRPr="001A1197">
        <w:rPr>
          <w:rFonts w:eastAsia="Batang"/>
          <w:b/>
          <w:bCs/>
          <w:i/>
          <w:iCs/>
          <w:sz w:val="22"/>
          <w:szCs w:val="22"/>
          <w:lang w:val="vi-VN" w:eastAsia="ko-KR"/>
        </w:rPr>
        <w:t>Keywords</w:t>
      </w:r>
      <w:r w:rsidRPr="001A1197">
        <w:rPr>
          <w:rFonts w:eastAsia="Batang"/>
          <w:i/>
          <w:iCs/>
          <w:sz w:val="22"/>
          <w:szCs w:val="22"/>
          <w:lang w:val="vi-VN" w:eastAsia="ko-KR"/>
        </w:rPr>
        <w:t xml:space="preserve">: </w:t>
      </w:r>
      <w:r w:rsidR="0045704D" w:rsidRPr="001A1197">
        <w:rPr>
          <w:rFonts w:eastAsia="Batang"/>
          <w:i/>
          <w:iCs/>
          <w:sz w:val="22"/>
          <w:szCs w:val="22"/>
          <w:lang w:eastAsia="ko-KR"/>
        </w:rPr>
        <w:t>P</w:t>
      </w:r>
      <w:r w:rsidR="0045704D" w:rsidRPr="001A1197">
        <w:rPr>
          <w:rFonts w:eastAsia="Batang"/>
          <w:i/>
          <w:iCs/>
          <w:sz w:val="22"/>
          <w:szCs w:val="22"/>
          <w:lang w:val="vi-VN" w:eastAsia="ko-KR"/>
        </w:rPr>
        <w:t>leural effusion</w:t>
      </w:r>
      <w:r w:rsidRPr="001A1197">
        <w:rPr>
          <w:rFonts w:eastAsia="Batang"/>
          <w:i/>
          <w:iCs/>
          <w:sz w:val="22"/>
          <w:szCs w:val="22"/>
          <w:lang w:eastAsia="ko-KR"/>
        </w:rPr>
        <w:t>,</w:t>
      </w:r>
      <w:r w:rsidRPr="001A1197">
        <w:rPr>
          <w:rFonts w:eastAsia="Batang"/>
          <w:i/>
          <w:iCs/>
          <w:sz w:val="22"/>
          <w:szCs w:val="22"/>
          <w:lang w:val="vi-VN" w:eastAsia="ko-KR"/>
        </w:rPr>
        <w:t xml:space="preserve"> </w:t>
      </w:r>
      <w:r w:rsidR="0045704D" w:rsidRPr="001A1197">
        <w:rPr>
          <w:rFonts w:eastAsia="Batang"/>
          <w:i/>
          <w:iCs/>
          <w:sz w:val="22"/>
          <w:szCs w:val="22"/>
          <w:lang w:eastAsia="ko-KR"/>
        </w:rPr>
        <w:t>Cell block</w:t>
      </w:r>
      <w:r w:rsidRPr="001A1197">
        <w:rPr>
          <w:rFonts w:eastAsia="Batang"/>
          <w:i/>
          <w:iCs/>
          <w:sz w:val="22"/>
          <w:szCs w:val="22"/>
          <w:lang w:eastAsia="ko-KR"/>
        </w:rPr>
        <w:t xml:space="preserve">, </w:t>
      </w:r>
      <w:r w:rsidR="0045704D" w:rsidRPr="001A1197">
        <w:rPr>
          <w:rFonts w:eastAsia="Batang"/>
          <w:i/>
          <w:iCs/>
          <w:sz w:val="22"/>
          <w:szCs w:val="22"/>
          <w:lang w:eastAsia="ko-KR"/>
        </w:rPr>
        <w:t>Cell smear, Conventional smear cytology</w:t>
      </w:r>
    </w:p>
    <w:p w14:paraId="739077E0" w14:textId="77777777" w:rsidR="002F11E2" w:rsidRPr="001A1197" w:rsidRDefault="002F11E2" w:rsidP="00C410BF">
      <w:pPr>
        <w:spacing w:before="0" w:after="0"/>
        <w:rPr>
          <w:b/>
          <w:bCs/>
          <w:sz w:val="22"/>
          <w:szCs w:val="22"/>
        </w:rPr>
      </w:pPr>
      <w:r w:rsidRPr="001A1197">
        <w:rPr>
          <w:b/>
          <w:bCs/>
          <w:sz w:val="22"/>
          <w:szCs w:val="22"/>
        </w:rPr>
        <w:t>I. INTRODUCTION</w:t>
      </w:r>
    </w:p>
    <w:p w14:paraId="41C0DCD4" w14:textId="77777777" w:rsidR="007A11B0" w:rsidRPr="001A1197" w:rsidRDefault="002F11E2" w:rsidP="00C410BF">
      <w:pPr>
        <w:spacing w:before="0" w:after="0"/>
        <w:rPr>
          <w:sz w:val="22"/>
          <w:szCs w:val="22"/>
        </w:rPr>
      </w:pPr>
      <w:r w:rsidRPr="001A1197">
        <w:rPr>
          <w:sz w:val="22"/>
          <w:szCs w:val="22"/>
        </w:rPr>
        <w:t xml:space="preserve">Lung cancer remains the leading cause of cancer-related mortality worldwide, with 2.21 million new cases and 1.8 million deaths in 2020, projected to rise to 3.8 million cases by 2050 according to the GLOBOCAN project </w:t>
      </w:r>
      <w:r w:rsidR="00B96700" w:rsidRPr="001A1197">
        <w:rPr>
          <w:sz w:val="22"/>
          <w:szCs w:val="22"/>
        </w:rPr>
        <w:fldChar w:fldCharType="begin"/>
      </w:r>
      <w:r w:rsidR="00517567" w:rsidRPr="001A1197">
        <w:rPr>
          <w:sz w:val="22"/>
          <w:szCs w:val="22"/>
        </w:rPr>
        <w:instrText xml:space="preserve"> ADDIN ZOTERO_ITEM CSL_CITATION {"citationID":"9p4hI8QM","properties":{"formattedCitation":"[1]","plainCitation":"[1]","noteIndex":0},"citationItems":[{"id":277,"uris":["http://zotero.org/users/local/CffHrRrr/items/73IRE4E9"],"itemData":{"id":277,"type":"article-journal","abstract":"AIM: Lung cancer is the leading cause of cancer deaths worldwide. This study examines the current and future burden of lung cancer at global, regional, and national levels.\nMETHODS: The estimates of lung cancer incident cases, deaths, and their age-standardized rates are drawn from GLOBOCAN 2020 for 21 regions and 185 countries. Mortality-to-incidence ratio (MIR) is considered as a proxy indicator of 5-year survival rates. Lung cancer burden in 2050 is projected using age-specific incidence and death rates in 2020.\nRESULTS: In 2020, there were 2.21 million new cases and 1.8 million deaths due to lung cancer worldwide with age-standardized incidence rate (ASIR) of 22.4/100,000 (male: 31.5; female: 14.6) and age-standardized mortality rates (ASMR) of 18.0/100,000, (male: 25.9; female: 11.2/100,000). Global MIR of lung cancer was 0.82 (males 0.83; females: 0.79), varying from 0.59 (Japan) to 1.0 (Belize). Hungary had the highest age-standardized rates (ASIR: 50.1/100,000; ASMR: 42.4/100,000) and Nigeria (ASIR: 0.88; ASMR: 0.86) had the lowest age-standardized rates in 2020. Both ASIR and ASMR were positively correlated with country-level tobacco smoking prevalence and human development index (HDI), whereas MIR exhibited a negative correlation with HDI. As per our projections, there will be 3.8 million incident cases and 3.2 million deaths globally due to lung cancer in 2050.\nCONCLUSION: With close to 2 million cases and deaths already in 2020, lung cancer has already become a global public health threat. Even with current risk levels and age-specific rates, lung cancer annual cases are expected to reach 3.8 million in 2050. Until smoking prevalence is reduced and ambient air pollution levels are checked, particularly in low/medium HDI countries, the lung cancer epidemic will continue unfolding.","container-title":"International Journal of Clinical Oncology","DOI":"10.1007/s10147-021-02108-2","ISSN":"1437-7772","issue":"4","journalAbbreviation":"Int J Clin Oncol","language":"eng","note":"PMID: 35020103\nPMCID: PMC8753949","page":"665-675","source":"PubMed","title":"Mapping of global, regional and national incidence, mortality and mortality-to-incidence ratio of lung cancer in 2020 and 2050","volume":"27","author":[{"family":"Sharma","given":"Rajesh"}],"issued":{"date-parts":[["2022",4]]}}}],"schema":"https://github.com/citation-style-language/schema/raw/master/csl-citation.json"} </w:instrText>
      </w:r>
      <w:r w:rsidR="00B96700" w:rsidRPr="001A1197">
        <w:rPr>
          <w:sz w:val="22"/>
          <w:szCs w:val="22"/>
        </w:rPr>
        <w:fldChar w:fldCharType="separate"/>
      </w:r>
      <w:r w:rsidR="00B96700" w:rsidRPr="001A1197">
        <w:rPr>
          <w:sz w:val="22"/>
          <w:szCs w:val="22"/>
        </w:rPr>
        <w:t>[1]</w:t>
      </w:r>
      <w:r w:rsidR="00B96700" w:rsidRPr="001A1197">
        <w:rPr>
          <w:sz w:val="22"/>
          <w:szCs w:val="22"/>
        </w:rPr>
        <w:fldChar w:fldCharType="end"/>
      </w:r>
      <w:r w:rsidR="00B96700" w:rsidRPr="001A1197">
        <w:rPr>
          <w:sz w:val="22"/>
          <w:szCs w:val="22"/>
        </w:rPr>
        <w:t xml:space="preserve">. </w:t>
      </w:r>
      <w:r w:rsidRPr="001A1197">
        <w:rPr>
          <w:sz w:val="22"/>
          <w:szCs w:val="22"/>
        </w:rPr>
        <w:t xml:space="preserve">Histopathological diagnosis is the gold standard, but invasive biopsy is often not feasible in patients with respiratory failure or high bleeding risk. In this context, pleural effusion cytology plays a crucial role, primarily using two methods: cell smear and cell block. The cell block </w:t>
      </w:r>
      <w:r w:rsidRPr="001A1197">
        <w:rPr>
          <w:sz w:val="22"/>
          <w:szCs w:val="22"/>
        </w:rPr>
        <w:lastRenderedPageBreak/>
        <w:t xml:space="preserve">technique allows for the collection of entire cellular components in effusion and supports immunohistochemical and genetic mutation analyses, such as EGFR and ALK, enhancing malignant diagnosis efficiency. Although applied at Ha Dong General Hospital since October 2021, no study has evaluated its actual effectiveness in cancer diagnosis on pleural effusion samples at this hospital. Therefore, this study was conducted with two objectives: (1) </w:t>
      </w:r>
      <w:bookmarkStart w:id="1" w:name="_Toc180570936"/>
      <w:r w:rsidRPr="001A1197">
        <w:rPr>
          <w:sz w:val="22"/>
          <w:szCs w:val="22"/>
        </w:rPr>
        <w:t xml:space="preserve">Compare the results of cell block examination and cell smear cytology in diagnosing malignant pleural effusion at Ha Dong General Hospital. (2) Identify factors associated with cytological diagnosis using the cell block technique. </w:t>
      </w:r>
    </w:p>
    <w:p w14:paraId="6380E11D" w14:textId="77777777" w:rsidR="00174AE8" w:rsidRPr="001A1197" w:rsidRDefault="002F11E2" w:rsidP="00C410BF">
      <w:pPr>
        <w:spacing w:before="0" w:after="0"/>
        <w:rPr>
          <w:b/>
          <w:bCs/>
          <w:sz w:val="22"/>
          <w:szCs w:val="22"/>
        </w:rPr>
      </w:pPr>
      <w:r w:rsidRPr="001A1197">
        <w:rPr>
          <w:b/>
          <w:bCs/>
          <w:sz w:val="22"/>
          <w:szCs w:val="22"/>
        </w:rPr>
        <w:t>II. STUDY SUBJECTS AND METHODS</w:t>
      </w:r>
    </w:p>
    <w:p w14:paraId="300C4B59" w14:textId="77777777" w:rsidR="00174AE8" w:rsidRPr="001A1197" w:rsidRDefault="000C54AD" w:rsidP="00C410BF">
      <w:pPr>
        <w:spacing w:before="0" w:after="0"/>
        <w:rPr>
          <w:b/>
          <w:bCs/>
          <w:sz w:val="22"/>
          <w:szCs w:val="22"/>
        </w:rPr>
      </w:pPr>
      <w:r w:rsidRPr="001A1197">
        <w:rPr>
          <w:b/>
          <w:bCs/>
          <w:sz w:val="22"/>
          <w:szCs w:val="22"/>
        </w:rPr>
        <w:t xml:space="preserve">2.1. </w:t>
      </w:r>
      <w:bookmarkEnd w:id="1"/>
      <w:r w:rsidR="007A11B0" w:rsidRPr="001A1197">
        <w:rPr>
          <w:b/>
          <w:bCs/>
          <w:sz w:val="22"/>
          <w:szCs w:val="22"/>
        </w:rPr>
        <w:t>Study subjects</w:t>
      </w:r>
      <w:bookmarkStart w:id="2" w:name="_Toc180570939"/>
    </w:p>
    <w:p w14:paraId="08FA7386" w14:textId="77777777" w:rsidR="00174AE8" w:rsidRPr="001A1197" w:rsidRDefault="007A11B0" w:rsidP="00C410BF">
      <w:pPr>
        <w:spacing w:before="0" w:after="0"/>
        <w:rPr>
          <w:sz w:val="22"/>
          <w:szCs w:val="22"/>
          <w:lang w:eastAsia="x-none"/>
        </w:rPr>
      </w:pPr>
      <w:r w:rsidRPr="001A1197">
        <w:rPr>
          <w:sz w:val="22"/>
          <w:szCs w:val="22"/>
          <w:lang w:eastAsia="x-none"/>
        </w:rPr>
        <w:t xml:space="preserve">Pleural effusion samples sent to the Pathology Department from October 2021 to May 2024.Inclusion criteria: Pleural effusion samples indicated for both cell block and cell smear techniques at the Pathology Department with complete patient records.Exclusion criteria: Coagulated specimens. </w:t>
      </w:r>
    </w:p>
    <w:p w14:paraId="57C6485B" w14:textId="77777777" w:rsidR="00174AE8" w:rsidRPr="001A1197" w:rsidRDefault="000C54AD" w:rsidP="00C410BF">
      <w:pPr>
        <w:spacing w:before="0" w:after="0"/>
        <w:rPr>
          <w:b/>
          <w:bCs/>
          <w:sz w:val="22"/>
          <w:szCs w:val="22"/>
        </w:rPr>
      </w:pPr>
      <w:r w:rsidRPr="001A1197">
        <w:rPr>
          <w:b/>
          <w:bCs/>
          <w:sz w:val="22"/>
          <w:szCs w:val="22"/>
        </w:rPr>
        <w:t xml:space="preserve">2.2. </w:t>
      </w:r>
      <w:bookmarkEnd w:id="2"/>
      <w:r w:rsidR="007A11B0" w:rsidRPr="001A1197">
        <w:rPr>
          <w:b/>
          <w:bCs/>
          <w:sz w:val="22"/>
          <w:szCs w:val="22"/>
        </w:rPr>
        <w:t>Study period and location</w:t>
      </w:r>
    </w:p>
    <w:p w14:paraId="5682B9DD" w14:textId="77777777" w:rsidR="00174AE8" w:rsidRPr="001A1197" w:rsidRDefault="007A11B0" w:rsidP="00C410BF">
      <w:pPr>
        <w:spacing w:before="0" w:after="0"/>
        <w:rPr>
          <w:sz w:val="22"/>
          <w:szCs w:val="22"/>
        </w:rPr>
      </w:pPr>
      <w:r w:rsidRPr="001A1197">
        <w:rPr>
          <w:sz w:val="22"/>
          <w:szCs w:val="22"/>
        </w:rPr>
        <w:t xml:space="preserve">The study was conducted from February 2024 to September 2024. Data were collected from October 2021 to May 2024 at the Pathology Department of Ha Dong General Hospital. </w:t>
      </w:r>
    </w:p>
    <w:p w14:paraId="0F01C612" w14:textId="640CE0AD" w:rsidR="00174AE8" w:rsidRPr="001A1197" w:rsidRDefault="000C54AD" w:rsidP="00C410BF">
      <w:pPr>
        <w:spacing w:before="0" w:after="0"/>
        <w:rPr>
          <w:b/>
          <w:bCs/>
          <w:sz w:val="22"/>
          <w:szCs w:val="22"/>
        </w:rPr>
      </w:pPr>
      <w:r w:rsidRPr="001A1197">
        <w:rPr>
          <w:b/>
          <w:bCs/>
          <w:sz w:val="22"/>
          <w:szCs w:val="22"/>
        </w:rPr>
        <w:t xml:space="preserve">2.3. </w:t>
      </w:r>
      <w:bookmarkStart w:id="3" w:name="_Toc180570941"/>
      <w:r w:rsidR="006A791F" w:rsidRPr="001A1197">
        <w:rPr>
          <w:b/>
          <w:bCs/>
          <w:sz w:val="22"/>
          <w:szCs w:val="22"/>
        </w:rPr>
        <w:t>Research Methods</w:t>
      </w:r>
    </w:p>
    <w:p w14:paraId="32ED19B9" w14:textId="77777777" w:rsidR="00174AE8" w:rsidRPr="001A1197" w:rsidRDefault="000C54AD" w:rsidP="00C410BF">
      <w:pPr>
        <w:spacing w:before="0" w:after="0"/>
        <w:rPr>
          <w:bCs/>
          <w:i/>
          <w:iCs/>
          <w:sz w:val="22"/>
          <w:szCs w:val="22"/>
        </w:rPr>
      </w:pPr>
      <w:r w:rsidRPr="001A1197">
        <w:rPr>
          <w:bCs/>
          <w:i/>
          <w:iCs/>
          <w:sz w:val="22"/>
          <w:szCs w:val="22"/>
        </w:rPr>
        <w:t xml:space="preserve">2.3.1. </w:t>
      </w:r>
      <w:bookmarkEnd w:id="3"/>
      <w:r w:rsidR="007A11B0" w:rsidRPr="001A1197">
        <w:rPr>
          <w:bCs/>
          <w:i/>
          <w:iCs/>
          <w:sz w:val="22"/>
          <w:szCs w:val="22"/>
        </w:rPr>
        <w:t>Study design</w:t>
      </w:r>
      <w:bookmarkStart w:id="4" w:name="_Toc180570942"/>
    </w:p>
    <w:p w14:paraId="7DD19DC4" w14:textId="77777777" w:rsidR="00174AE8" w:rsidRPr="001A1197" w:rsidRDefault="007A11B0" w:rsidP="00C410BF">
      <w:pPr>
        <w:spacing w:before="0" w:after="0"/>
        <w:rPr>
          <w:sz w:val="22"/>
          <w:szCs w:val="22"/>
        </w:rPr>
      </w:pPr>
      <w:r w:rsidRPr="001A1197">
        <w:rPr>
          <w:sz w:val="22"/>
          <w:szCs w:val="22"/>
        </w:rPr>
        <w:t xml:space="preserve">A cross-sectional descriptive study was conducted. </w:t>
      </w:r>
    </w:p>
    <w:p w14:paraId="75B67AA1" w14:textId="77777777" w:rsidR="00174AE8" w:rsidRPr="001A1197" w:rsidRDefault="000C54AD" w:rsidP="00C410BF">
      <w:pPr>
        <w:spacing w:before="0" w:after="0"/>
        <w:rPr>
          <w:i/>
          <w:iCs/>
          <w:sz w:val="22"/>
          <w:szCs w:val="22"/>
        </w:rPr>
      </w:pPr>
      <w:r w:rsidRPr="001A1197">
        <w:rPr>
          <w:i/>
          <w:iCs/>
          <w:sz w:val="22"/>
          <w:szCs w:val="22"/>
        </w:rPr>
        <w:t xml:space="preserve">2.3.2. </w:t>
      </w:r>
      <w:bookmarkEnd w:id="4"/>
      <w:r w:rsidR="007A11B0" w:rsidRPr="001A1197">
        <w:rPr>
          <w:i/>
          <w:iCs/>
          <w:sz w:val="22"/>
          <w:szCs w:val="22"/>
        </w:rPr>
        <w:t>Sample size and selection</w:t>
      </w:r>
      <w:bookmarkStart w:id="5" w:name="_Toc180570943"/>
    </w:p>
    <w:p w14:paraId="7A49DBFA" w14:textId="6DFBF36C" w:rsidR="007A11B0" w:rsidRPr="001A1197" w:rsidRDefault="007A11B0" w:rsidP="00C410BF">
      <w:pPr>
        <w:spacing w:before="0" w:after="0"/>
        <w:rPr>
          <w:b/>
          <w:sz w:val="22"/>
          <w:szCs w:val="22"/>
        </w:rPr>
      </w:pPr>
      <w:r w:rsidRPr="001A1197">
        <w:rPr>
          <w:sz w:val="22"/>
          <w:szCs w:val="22"/>
        </w:rPr>
        <w:t xml:space="preserve">The study used a total sample approach. A total of 176 pleural effusion samples meeting inclusion and exclusion criteria were collected from October 2021 to May 2024. </w:t>
      </w:r>
    </w:p>
    <w:p w14:paraId="6EEDFA46" w14:textId="491AAB5F" w:rsidR="001D743D" w:rsidRPr="001A1197" w:rsidRDefault="00F73A7E" w:rsidP="001E1AE4">
      <w:pPr>
        <w:rPr>
          <w:b/>
          <w:bCs/>
          <w:sz w:val="22"/>
          <w:szCs w:val="22"/>
        </w:rPr>
      </w:pPr>
      <w:r w:rsidRPr="001A1197">
        <w:rPr>
          <w:b/>
          <w:bCs/>
          <w:sz w:val="22"/>
          <w:szCs w:val="22"/>
        </w:rPr>
        <w:t xml:space="preserve">2.4. </w:t>
      </w:r>
      <w:bookmarkEnd w:id="5"/>
      <w:r w:rsidR="007A11B0" w:rsidRPr="001A1197">
        <w:rPr>
          <w:b/>
          <w:bCs/>
          <w:sz w:val="22"/>
          <w:szCs w:val="22"/>
        </w:rPr>
        <w:t>Research variables</w:t>
      </w:r>
    </w:p>
    <w:p w14:paraId="02088618" w14:textId="5962AB8A" w:rsidR="001D743D" w:rsidRPr="001A1197" w:rsidRDefault="007A11B0" w:rsidP="00C410BF">
      <w:pPr>
        <w:spacing w:before="0" w:after="0"/>
        <w:rPr>
          <w:sz w:val="22"/>
          <w:szCs w:val="22"/>
          <w:lang w:eastAsia="x-none"/>
        </w:rPr>
      </w:pPr>
      <w:r w:rsidRPr="001A1197">
        <w:rPr>
          <w:sz w:val="22"/>
          <w:szCs w:val="22"/>
          <w:lang w:eastAsia="x-none"/>
        </w:rPr>
        <w:t xml:space="preserve">Cell block and cell smear diagnosis results were classified into three categories: </w:t>
      </w:r>
      <w:r w:rsidR="00F73A7E" w:rsidRPr="001A1197">
        <w:rPr>
          <w:sz w:val="22"/>
          <w:szCs w:val="22"/>
          <w:lang w:eastAsia="x-none"/>
        </w:rPr>
        <w:t xml:space="preserve">1) </w:t>
      </w:r>
      <w:r w:rsidRPr="001A1197">
        <w:rPr>
          <w:sz w:val="22"/>
          <w:szCs w:val="22"/>
          <w:lang w:eastAsia="x-none"/>
        </w:rPr>
        <w:t>Benign: No abnormal or suspicious malignant cells</w:t>
      </w:r>
      <w:r w:rsidR="001D743D" w:rsidRPr="001A1197">
        <w:rPr>
          <w:sz w:val="22"/>
          <w:szCs w:val="22"/>
          <w:lang w:eastAsia="x-none"/>
        </w:rPr>
        <w:t>.</w:t>
      </w:r>
      <w:r w:rsidR="00F73A7E" w:rsidRPr="001A1197">
        <w:rPr>
          <w:sz w:val="22"/>
          <w:szCs w:val="22"/>
          <w:lang w:eastAsia="x-none"/>
        </w:rPr>
        <w:t xml:space="preserve"> 2) </w:t>
      </w:r>
      <w:r w:rsidRPr="001A1197">
        <w:rPr>
          <w:sz w:val="22"/>
          <w:szCs w:val="22"/>
          <w:lang w:eastAsia="x-none"/>
        </w:rPr>
        <w:t>Malignant: Presence of abnormal cells meeting malignant criteria</w:t>
      </w:r>
      <w:r w:rsidR="001D743D" w:rsidRPr="001A1197">
        <w:rPr>
          <w:sz w:val="22"/>
          <w:szCs w:val="22"/>
          <w:lang w:eastAsia="x-none"/>
        </w:rPr>
        <w:t>.</w:t>
      </w:r>
      <w:r w:rsidR="00F73A7E" w:rsidRPr="001A1197">
        <w:rPr>
          <w:sz w:val="22"/>
          <w:szCs w:val="22"/>
          <w:lang w:eastAsia="x-none"/>
        </w:rPr>
        <w:t xml:space="preserve"> 3) </w:t>
      </w:r>
      <w:r w:rsidR="00157C88" w:rsidRPr="001A1197">
        <w:rPr>
          <w:sz w:val="22"/>
          <w:szCs w:val="22"/>
          <w:lang w:eastAsia="x-none"/>
        </w:rPr>
        <w:t>Suspicious for malignancy</w:t>
      </w:r>
      <w:r w:rsidRPr="001A1197">
        <w:rPr>
          <w:sz w:val="22"/>
          <w:szCs w:val="22"/>
          <w:lang w:eastAsia="x-none"/>
        </w:rPr>
        <w:t>: Presence of abnormal proliferative cells insufficient for malignancy diagnosis.</w:t>
      </w:r>
    </w:p>
    <w:p w14:paraId="1C0CE897" w14:textId="17061F9F" w:rsidR="001D743D" w:rsidRPr="001A1197" w:rsidRDefault="00F73A7E" w:rsidP="001E1AE4">
      <w:pPr>
        <w:rPr>
          <w:b/>
          <w:bCs/>
          <w:sz w:val="22"/>
          <w:szCs w:val="22"/>
        </w:rPr>
      </w:pPr>
      <w:bookmarkStart w:id="6" w:name="_Toc130317324"/>
      <w:bookmarkStart w:id="7" w:name="_Toc161183533"/>
      <w:bookmarkStart w:id="8" w:name="_Toc180570944"/>
      <w:r w:rsidRPr="001A1197">
        <w:rPr>
          <w:b/>
          <w:bCs/>
          <w:sz w:val="22"/>
          <w:szCs w:val="22"/>
        </w:rPr>
        <w:t xml:space="preserve">2.5. </w:t>
      </w:r>
      <w:bookmarkEnd w:id="6"/>
      <w:bookmarkEnd w:id="7"/>
      <w:bookmarkEnd w:id="8"/>
      <w:r w:rsidR="007A11B0" w:rsidRPr="001A1197">
        <w:rPr>
          <w:b/>
          <w:bCs/>
          <w:sz w:val="22"/>
          <w:szCs w:val="22"/>
        </w:rPr>
        <w:t>Research process</w:t>
      </w:r>
    </w:p>
    <w:p w14:paraId="3643A03B" w14:textId="1CDA961B" w:rsidR="001D743D" w:rsidRPr="001A1197" w:rsidRDefault="007A11B0" w:rsidP="00C410BF">
      <w:pPr>
        <w:pStyle w:val="ListParagraph"/>
        <w:numPr>
          <w:ilvl w:val="0"/>
          <w:numId w:val="4"/>
        </w:numPr>
        <w:spacing w:before="0" w:after="0"/>
        <w:rPr>
          <w:rFonts w:cs="Times New Roman"/>
          <w:sz w:val="22"/>
        </w:rPr>
      </w:pPr>
      <w:r w:rsidRPr="001A1197">
        <w:rPr>
          <w:rFonts w:cs="Times New Roman"/>
          <w:sz w:val="22"/>
        </w:rPr>
        <w:t>Step</w:t>
      </w:r>
      <w:r w:rsidR="001D743D" w:rsidRPr="001A1197">
        <w:rPr>
          <w:rFonts w:cs="Times New Roman"/>
          <w:sz w:val="22"/>
        </w:rPr>
        <w:t xml:space="preserve"> 1: </w:t>
      </w:r>
      <w:r w:rsidRPr="001A1197">
        <w:rPr>
          <w:rFonts w:cs="Times New Roman"/>
          <w:sz w:val="22"/>
        </w:rPr>
        <w:t>Collect patient information: age, gender, effusion aspiration site from medical records.</w:t>
      </w:r>
    </w:p>
    <w:p w14:paraId="5B66CAD4" w14:textId="7FEDF1E6" w:rsidR="001D743D" w:rsidRPr="001A1197" w:rsidRDefault="007A11B0" w:rsidP="00C410BF">
      <w:pPr>
        <w:pStyle w:val="ListParagraph"/>
        <w:numPr>
          <w:ilvl w:val="0"/>
          <w:numId w:val="4"/>
        </w:numPr>
        <w:spacing w:before="0" w:after="0"/>
        <w:rPr>
          <w:rFonts w:cs="Times New Roman"/>
          <w:sz w:val="22"/>
        </w:rPr>
      </w:pPr>
      <w:r w:rsidRPr="001A1197">
        <w:rPr>
          <w:rFonts w:cs="Times New Roman"/>
          <w:sz w:val="22"/>
        </w:rPr>
        <w:t>Step</w:t>
      </w:r>
      <w:r w:rsidR="001D743D" w:rsidRPr="001A1197">
        <w:rPr>
          <w:rFonts w:cs="Times New Roman"/>
          <w:sz w:val="22"/>
        </w:rPr>
        <w:t xml:space="preserve"> 2:  </w:t>
      </w:r>
      <w:r w:rsidRPr="001A1197">
        <w:rPr>
          <w:rFonts w:cs="Times New Roman"/>
          <w:sz w:val="22"/>
        </w:rPr>
        <w:t>Record fluid volume and color through direct observation or medical records</w:t>
      </w:r>
    </w:p>
    <w:p w14:paraId="1180073A" w14:textId="1269DF60" w:rsidR="001D743D" w:rsidRPr="001A1197" w:rsidRDefault="007A11B0" w:rsidP="00C410BF">
      <w:pPr>
        <w:pStyle w:val="ListParagraph"/>
        <w:numPr>
          <w:ilvl w:val="0"/>
          <w:numId w:val="4"/>
        </w:numPr>
        <w:spacing w:before="0" w:after="0"/>
        <w:rPr>
          <w:rFonts w:cs="Times New Roman"/>
          <w:sz w:val="22"/>
        </w:rPr>
      </w:pPr>
      <w:r w:rsidRPr="001A1197">
        <w:rPr>
          <w:rFonts w:cs="Times New Roman"/>
          <w:sz w:val="22"/>
        </w:rPr>
        <w:t>Step</w:t>
      </w:r>
      <w:r w:rsidR="001D743D" w:rsidRPr="001A1197">
        <w:rPr>
          <w:rFonts w:cs="Times New Roman"/>
          <w:sz w:val="22"/>
        </w:rPr>
        <w:t xml:space="preserve"> 3: </w:t>
      </w:r>
      <w:r w:rsidRPr="001A1197">
        <w:rPr>
          <w:rFonts w:cs="Times New Roman"/>
          <w:sz w:val="22"/>
        </w:rPr>
        <w:t>Process specimens using cell block and cell smear techniques per Ministry of Health protocols. Cell blocks were embedded, sectioned, and stained with Hematoxylin-Eosin. Suspicious cases underwent immunohistochemical staining.</w:t>
      </w:r>
    </w:p>
    <w:p w14:paraId="77A1F83C" w14:textId="0B199A97" w:rsidR="001D743D" w:rsidRPr="001A1197" w:rsidRDefault="007A11B0" w:rsidP="00C410BF">
      <w:pPr>
        <w:pStyle w:val="ListParagraph"/>
        <w:numPr>
          <w:ilvl w:val="0"/>
          <w:numId w:val="4"/>
        </w:numPr>
        <w:spacing w:before="0" w:after="0"/>
        <w:rPr>
          <w:rFonts w:cs="Times New Roman"/>
          <w:sz w:val="22"/>
        </w:rPr>
      </w:pPr>
      <w:r w:rsidRPr="001A1197">
        <w:rPr>
          <w:rFonts w:cs="Times New Roman"/>
          <w:sz w:val="22"/>
        </w:rPr>
        <w:t>Step</w:t>
      </w:r>
      <w:r w:rsidR="001D743D" w:rsidRPr="001A1197">
        <w:rPr>
          <w:rFonts w:cs="Times New Roman"/>
          <w:sz w:val="22"/>
        </w:rPr>
        <w:t xml:space="preserve"> 4: </w:t>
      </w:r>
      <w:r w:rsidRPr="001A1197">
        <w:rPr>
          <w:rFonts w:cs="Times New Roman"/>
          <w:sz w:val="22"/>
        </w:rPr>
        <w:t>Record cytological diagnosis results. All diagnoses were performed by certified pathologists. Suspicious cases were reviewed by a pathology board for confirmation.</w:t>
      </w:r>
    </w:p>
    <w:p w14:paraId="1BBD1088" w14:textId="58364809" w:rsidR="001D743D" w:rsidRPr="001A1197" w:rsidRDefault="007A11B0" w:rsidP="00C410BF">
      <w:pPr>
        <w:pStyle w:val="ListParagraph"/>
        <w:numPr>
          <w:ilvl w:val="0"/>
          <w:numId w:val="4"/>
        </w:numPr>
        <w:spacing w:before="0" w:after="0"/>
        <w:rPr>
          <w:rFonts w:cs="Times New Roman"/>
          <w:sz w:val="22"/>
        </w:rPr>
      </w:pPr>
      <w:r w:rsidRPr="001A1197">
        <w:rPr>
          <w:rFonts w:cs="Times New Roman"/>
          <w:sz w:val="22"/>
        </w:rPr>
        <w:t>Step</w:t>
      </w:r>
      <w:r w:rsidR="001D743D" w:rsidRPr="001A1197">
        <w:rPr>
          <w:rFonts w:cs="Times New Roman"/>
          <w:sz w:val="22"/>
        </w:rPr>
        <w:t xml:space="preserve"> 5.  </w:t>
      </w:r>
      <w:r w:rsidRPr="001A1197">
        <w:rPr>
          <w:rFonts w:cs="Times New Roman"/>
          <w:sz w:val="22"/>
        </w:rPr>
        <w:t>Data entry into Excel software.</w:t>
      </w:r>
    </w:p>
    <w:p w14:paraId="35EEAFC7" w14:textId="77777777" w:rsidR="00D70FCC" w:rsidRPr="001A1197" w:rsidRDefault="00D70FCC" w:rsidP="00C410BF">
      <w:pPr>
        <w:pStyle w:val="ListParagraph"/>
        <w:numPr>
          <w:ilvl w:val="0"/>
          <w:numId w:val="4"/>
        </w:numPr>
        <w:overflowPunct w:val="0"/>
        <w:autoSpaceDE w:val="0"/>
        <w:autoSpaceDN w:val="0"/>
        <w:adjustRightInd w:val="0"/>
        <w:spacing w:before="0" w:after="0"/>
        <w:textAlignment w:val="baseline"/>
        <w:rPr>
          <w:rFonts w:cs="Times New Roman"/>
          <w:sz w:val="22"/>
        </w:rPr>
      </w:pPr>
      <w:r w:rsidRPr="001A1197">
        <w:rPr>
          <w:rFonts w:eastAsia="MS Mincho" w:cs="Times New Roman"/>
          <w:sz w:val="22"/>
        </w:rPr>
        <w:t>Step 6</w:t>
      </w:r>
      <w:r w:rsidR="001D743D" w:rsidRPr="001A1197">
        <w:rPr>
          <w:rFonts w:eastAsia="MS Mincho" w:cs="Times New Roman"/>
          <w:sz w:val="22"/>
        </w:rPr>
        <w:t xml:space="preserve">: </w:t>
      </w:r>
      <w:bookmarkStart w:id="9" w:name="_Toc130317326"/>
      <w:bookmarkStart w:id="10" w:name="_Toc161183534"/>
      <w:bookmarkStart w:id="11" w:name="_Toc180570945"/>
      <w:r w:rsidR="007A11B0" w:rsidRPr="001A1197">
        <w:rPr>
          <w:rFonts w:eastAsia="MS Mincho" w:cs="Times New Roman"/>
          <w:sz w:val="22"/>
        </w:rPr>
        <w:t xml:space="preserve">Data analysis, report compilation, discussion, and conclusion formulation. </w:t>
      </w:r>
    </w:p>
    <w:p w14:paraId="2E7A6099" w14:textId="63295E40" w:rsidR="001D743D" w:rsidRPr="001A1197" w:rsidRDefault="00F73A7E" w:rsidP="00C410BF">
      <w:pPr>
        <w:overflowPunct w:val="0"/>
        <w:autoSpaceDE w:val="0"/>
        <w:autoSpaceDN w:val="0"/>
        <w:adjustRightInd w:val="0"/>
        <w:spacing w:before="0" w:after="0"/>
        <w:textAlignment w:val="baseline"/>
        <w:rPr>
          <w:sz w:val="22"/>
          <w:szCs w:val="22"/>
        </w:rPr>
      </w:pPr>
      <w:r w:rsidRPr="001A1197">
        <w:rPr>
          <w:b/>
          <w:bCs/>
          <w:sz w:val="22"/>
          <w:szCs w:val="22"/>
        </w:rPr>
        <w:t>2.6.</w:t>
      </w:r>
      <w:r w:rsidR="00D70FCC" w:rsidRPr="001A1197">
        <w:rPr>
          <w:sz w:val="22"/>
          <w:szCs w:val="22"/>
        </w:rPr>
        <w:t xml:space="preserve"> </w:t>
      </w:r>
      <w:bookmarkEnd w:id="9"/>
      <w:bookmarkEnd w:id="10"/>
      <w:bookmarkEnd w:id="11"/>
      <w:r w:rsidR="00D70FCC" w:rsidRPr="001A1197">
        <w:rPr>
          <w:b/>
          <w:bCs/>
          <w:sz w:val="22"/>
          <w:szCs w:val="22"/>
        </w:rPr>
        <w:t>Data Analysis and Processing</w:t>
      </w:r>
    </w:p>
    <w:p w14:paraId="2D8CBB31" w14:textId="77777777" w:rsidR="00D70FCC" w:rsidRPr="001A1197" w:rsidRDefault="00D70FCC" w:rsidP="005000BF">
      <w:pPr>
        <w:rPr>
          <w:b/>
          <w:sz w:val="22"/>
          <w:szCs w:val="22"/>
        </w:rPr>
      </w:pPr>
      <w:bookmarkStart w:id="12" w:name="_Toc130317327"/>
      <w:bookmarkStart w:id="13" w:name="_Toc180570946"/>
      <w:r w:rsidRPr="001A1197">
        <w:rPr>
          <w:sz w:val="22"/>
          <w:szCs w:val="22"/>
        </w:rPr>
        <w:lastRenderedPageBreak/>
        <w:t xml:space="preserve">Data were entered into Excel and analyzed using SPSS 26.0. Frequency and percentage statistics were used. Chi-square and Fisher’s exact tests assessed differences, with statistical significance at p&lt;0.05. </w:t>
      </w:r>
    </w:p>
    <w:p w14:paraId="43A9ED93" w14:textId="6446DAE8" w:rsidR="001D743D" w:rsidRPr="001A1197" w:rsidRDefault="00F73A7E" w:rsidP="005000BF">
      <w:pPr>
        <w:rPr>
          <w:b/>
          <w:bCs/>
          <w:sz w:val="22"/>
          <w:szCs w:val="22"/>
        </w:rPr>
      </w:pPr>
      <w:r w:rsidRPr="001A1197">
        <w:rPr>
          <w:b/>
          <w:bCs/>
          <w:sz w:val="22"/>
          <w:szCs w:val="22"/>
        </w:rPr>
        <w:t xml:space="preserve">2.7. </w:t>
      </w:r>
      <w:bookmarkEnd w:id="12"/>
      <w:bookmarkEnd w:id="13"/>
      <w:r w:rsidR="00D70FCC" w:rsidRPr="001A1197">
        <w:rPr>
          <w:b/>
          <w:bCs/>
          <w:sz w:val="22"/>
          <w:szCs w:val="22"/>
        </w:rPr>
        <w:t>Ethical considerations</w:t>
      </w:r>
    </w:p>
    <w:p w14:paraId="198A9D7A" w14:textId="77777777" w:rsidR="00D70FCC" w:rsidRPr="001A1197" w:rsidRDefault="00D70FCC" w:rsidP="005000BF">
      <w:pPr>
        <w:rPr>
          <w:sz w:val="22"/>
          <w:szCs w:val="22"/>
        </w:rPr>
      </w:pPr>
      <w:bookmarkStart w:id="14" w:name="_Toc180570948"/>
      <w:r w:rsidRPr="001A1197">
        <w:rPr>
          <w:sz w:val="22"/>
          <w:szCs w:val="22"/>
        </w:rPr>
        <w:t xml:space="preserve">The study was approved by the Ha Dong General Hospital Scientific Committee and hospital leadership. Data were collected honestly and objectively, solely for research purposes. Patient confidentiality was strictly maintained. </w:t>
      </w:r>
    </w:p>
    <w:p w14:paraId="29C0E0B5" w14:textId="06B99B61" w:rsidR="002F11E2" w:rsidRPr="001A1197" w:rsidRDefault="002F11E2" w:rsidP="00C410BF">
      <w:pPr>
        <w:pStyle w:val="ListParagraph"/>
        <w:tabs>
          <w:tab w:val="left" w:pos="1320"/>
        </w:tabs>
        <w:spacing w:before="0" w:after="0"/>
        <w:ind w:left="0"/>
        <w:rPr>
          <w:rFonts w:cs="Times New Roman"/>
          <w:sz w:val="22"/>
        </w:rPr>
      </w:pPr>
      <w:r w:rsidRPr="001A1197">
        <w:rPr>
          <w:rFonts w:cs="Times New Roman"/>
          <w:b/>
          <w:bCs/>
          <w:sz w:val="22"/>
        </w:rPr>
        <w:t>III. RESULTS</w:t>
      </w:r>
    </w:p>
    <w:p w14:paraId="239048EA" w14:textId="17DB3CE3" w:rsidR="001D743D" w:rsidRPr="001A1197" w:rsidRDefault="00291CB8" w:rsidP="005000BF">
      <w:pPr>
        <w:rPr>
          <w:b/>
          <w:bCs/>
          <w:sz w:val="22"/>
          <w:szCs w:val="22"/>
        </w:rPr>
      </w:pPr>
      <w:r w:rsidRPr="001A1197">
        <w:rPr>
          <w:b/>
          <w:bCs/>
          <w:sz w:val="22"/>
          <w:szCs w:val="22"/>
        </w:rPr>
        <w:t xml:space="preserve">3.1. </w:t>
      </w:r>
      <w:bookmarkEnd w:id="14"/>
      <w:r w:rsidR="00D70FCC" w:rsidRPr="001A1197">
        <w:rPr>
          <w:b/>
          <w:bCs/>
          <w:sz w:val="22"/>
          <w:szCs w:val="22"/>
        </w:rPr>
        <w:t>General characteristics of study subjects</w:t>
      </w:r>
    </w:p>
    <w:p w14:paraId="3D1EB5EA" w14:textId="313D48BE" w:rsidR="001D743D" w:rsidRPr="001A1197" w:rsidRDefault="007B2225" w:rsidP="00C410BF">
      <w:pPr>
        <w:pStyle w:val="NoSpacing"/>
        <w:spacing w:before="0" w:after="0"/>
      </w:pPr>
      <w:r w:rsidRPr="001A1197">
        <w:t xml:space="preserve">Table 1. General </w:t>
      </w:r>
      <w:r w:rsidR="00157C88" w:rsidRPr="001A1197">
        <w:t>characteristics of the study population</w:t>
      </w:r>
    </w:p>
    <w:tbl>
      <w:tblPr>
        <w:tblStyle w:val="TableGrid"/>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291"/>
        <w:gridCol w:w="1843"/>
      </w:tblGrid>
      <w:tr w:rsidR="001A1197" w:rsidRPr="001A1197" w14:paraId="439723BE" w14:textId="77777777" w:rsidTr="002F7953">
        <w:trPr>
          <w:jc w:val="center"/>
        </w:trPr>
        <w:tc>
          <w:tcPr>
            <w:tcW w:w="3379" w:type="dxa"/>
            <w:tcBorders>
              <w:bottom w:val="single" w:sz="4" w:space="0" w:color="auto"/>
            </w:tcBorders>
            <w:shd w:val="clear" w:color="auto" w:fill="auto"/>
            <w:vAlign w:val="center"/>
          </w:tcPr>
          <w:p w14:paraId="5E35B97B" w14:textId="4AE108EA" w:rsidR="001D743D" w:rsidRPr="001A1197" w:rsidRDefault="007B2225" w:rsidP="00C410BF">
            <w:pPr>
              <w:spacing w:line="288" w:lineRule="auto"/>
              <w:jc w:val="center"/>
              <w:rPr>
                <w:rFonts w:ascii="Times New Roman" w:hAnsi="Times New Roman" w:cs="Times New Roman"/>
                <w:b/>
                <w:bCs/>
              </w:rPr>
            </w:pPr>
            <w:r w:rsidRPr="001A1197">
              <w:rPr>
                <w:rFonts w:ascii="Times New Roman" w:hAnsi="Times New Roman" w:cs="Times New Roman"/>
                <w:b/>
                <w:bCs/>
              </w:rPr>
              <w:t>Characteristics</w:t>
            </w:r>
          </w:p>
        </w:tc>
        <w:tc>
          <w:tcPr>
            <w:tcW w:w="2291" w:type="dxa"/>
            <w:tcBorders>
              <w:bottom w:val="single" w:sz="4" w:space="0" w:color="auto"/>
            </w:tcBorders>
            <w:shd w:val="clear" w:color="auto" w:fill="auto"/>
            <w:vAlign w:val="center"/>
          </w:tcPr>
          <w:p w14:paraId="4E199DF7" w14:textId="14DF15D4" w:rsidR="001D743D" w:rsidRPr="001A1197" w:rsidRDefault="007B2225" w:rsidP="00C410BF">
            <w:pPr>
              <w:spacing w:line="288" w:lineRule="auto"/>
              <w:jc w:val="center"/>
              <w:rPr>
                <w:rFonts w:ascii="Times New Roman" w:hAnsi="Times New Roman" w:cs="Times New Roman"/>
                <w:b/>
              </w:rPr>
            </w:pPr>
            <w:r w:rsidRPr="001A1197">
              <w:rPr>
                <w:rFonts w:ascii="Times New Roman" w:hAnsi="Times New Roman" w:cs="Times New Roman"/>
                <w:b/>
              </w:rPr>
              <w:t xml:space="preserve">Number </w:t>
            </w:r>
            <w:r w:rsidR="001D743D" w:rsidRPr="001A1197">
              <w:rPr>
                <w:rFonts w:ascii="Times New Roman" w:hAnsi="Times New Roman" w:cs="Times New Roman"/>
                <w:b/>
              </w:rPr>
              <w:t>(n)</w:t>
            </w:r>
          </w:p>
        </w:tc>
        <w:tc>
          <w:tcPr>
            <w:tcW w:w="1843" w:type="dxa"/>
            <w:tcBorders>
              <w:bottom w:val="single" w:sz="4" w:space="0" w:color="auto"/>
            </w:tcBorders>
            <w:shd w:val="clear" w:color="auto" w:fill="auto"/>
            <w:vAlign w:val="center"/>
          </w:tcPr>
          <w:p w14:paraId="47CDF75A" w14:textId="4106513E" w:rsidR="001D743D" w:rsidRPr="001A1197" w:rsidRDefault="007B2225" w:rsidP="00C410BF">
            <w:pPr>
              <w:spacing w:line="288" w:lineRule="auto"/>
              <w:jc w:val="center"/>
              <w:rPr>
                <w:rFonts w:ascii="Times New Roman" w:hAnsi="Times New Roman" w:cs="Times New Roman"/>
                <w:b/>
              </w:rPr>
            </w:pPr>
            <w:r w:rsidRPr="001A1197">
              <w:rPr>
                <w:rFonts w:ascii="Times New Roman" w:hAnsi="Times New Roman" w:cs="Times New Roman"/>
                <w:b/>
              </w:rPr>
              <w:t xml:space="preserve">Percentage </w:t>
            </w:r>
            <w:r w:rsidR="001D743D" w:rsidRPr="001A1197">
              <w:rPr>
                <w:rFonts w:ascii="Times New Roman" w:hAnsi="Times New Roman" w:cs="Times New Roman"/>
                <w:b/>
              </w:rPr>
              <w:t>(%)</w:t>
            </w:r>
          </w:p>
        </w:tc>
      </w:tr>
      <w:tr w:rsidR="001A1197" w:rsidRPr="001A1197" w14:paraId="3B8519BD" w14:textId="77777777" w:rsidTr="002F7953">
        <w:trPr>
          <w:jc w:val="center"/>
        </w:trPr>
        <w:tc>
          <w:tcPr>
            <w:tcW w:w="3379" w:type="dxa"/>
            <w:tcBorders>
              <w:top w:val="single" w:sz="4" w:space="0" w:color="auto"/>
            </w:tcBorders>
            <w:shd w:val="clear" w:color="auto" w:fill="auto"/>
            <w:vAlign w:val="center"/>
          </w:tcPr>
          <w:p w14:paraId="79553841" w14:textId="206D5AF3" w:rsidR="00291CB8" w:rsidRPr="001A1197" w:rsidRDefault="007B2225" w:rsidP="00C410BF">
            <w:pPr>
              <w:spacing w:line="288" w:lineRule="auto"/>
              <w:rPr>
                <w:rFonts w:ascii="Times New Roman" w:hAnsi="Times New Roman" w:cs="Times New Roman"/>
                <w:b/>
              </w:rPr>
            </w:pPr>
            <w:r w:rsidRPr="001A1197">
              <w:rPr>
                <w:rFonts w:ascii="Times New Roman" w:hAnsi="Times New Roman" w:cs="Times New Roman"/>
                <w:b/>
              </w:rPr>
              <w:t>Age group</w:t>
            </w:r>
          </w:p>
        </w:tc>
        <w:tc>
          <w:tcPr>
            <w:tcW w:w="2291" w:type="dxa"/>
            <w:tcBorders>
              <w:top w:val="single" w:sz="4" w:space="0" w:color="auto"/>
            </w:tcBorders>
            <w:shd w:val="clear" w:color="auto" w:fill="auto"/>
            <w:vAlign w:val="center"/>
          </w:tcPr>
          <w:p w14:paraId="555C0362" w14:textId="77777777" w:rsidR="00291CB8" w:rsidRPr="001A1197" w:rsidRDefault="00291CB8" w:rsidP="00C410BF">
            <w:pPr>
              <w:spacing w:line="288" w:lineRule="auto"/>
              <w:jc w:val="center"/>
              <w:rPr>
                <w:rFonts w:ascii="Times New Roman" w:hAnsi="Times New Roman" w:cs="Times New Roman"/>
                <w:b/>
              </w:rPr>
            </w:pPr>
          </w:p>
        </w:tc>
        <w:tc>
          <w:tcPr>
            <w:tcW w:w="1843" w:type="dxa"/>
            <w:tcBorders>
              <w:top w:val="single" w:sz="4" w:space="0" w:color="auto"/>
            </w:tcBorders>
            <w:shd w:val="clear" w:color="auto" w:fill="auto"/>
            <w:vAlign w:val="center"/>
          </w:tcPr>
          <w:p w14:paraId="45FAA47D" w14:textId="77777777" w:rsidR="00291CB8" w:rsidRPr="001A1197" w:rsidRDefault="00291CB8" w:rsidP="00C410BF">
            <w:pPr>
              <w:spacing w:line="288" w:lineRule="auto"/>
              <w:jc w:val="center"/>
              <w:rPr>
                <w:rFonts w:ascii="Times New Roman" w:hAnsi="Times New Roman" w:cs="Times New Roman"/>
                <w:b/>
              </w:rPr>
            </w:pPr>
          </w:p>
        </w:tc>
      </w:tr>
      <w:tr w:rsidR="001A1197" w:rsidRPr="001A1197" w14:paraId="2F042D36" w14:textId="77777777" w:rsidTr="002F7953">
        <w:trPr>
          <w:jc w:val="center"/>
        </w:trPr>
        <w:tc>
          <w:tcPr>
            <w:tcW w:w="3379" w:type="dxa"/>
            <w:vAlign w:val="center"/>
          </w:tcPr>
          <w:p w14:paraId="18430705" w14:textId="77777777" w:rsidR="001D743D" w:rsidRPr="001A1197" w:rsidRDefault="001D743D" w:rsidP="00C410BF">
            <w:pPr>
              <w:spacing w:line="288" w:lineRule="auto"/>
              <w:rPr>
                <w:rFonts w:ascii="Times New Roman" w:hAnsi="Times New Roman" w:cs="Times New Roman"/>
              </w:rPr>
            </w:pPr>
            <w:r w:rsidRPr="001A1197">
              <w:rPr>
                <w:rFonts w:ascii="Times New Roman" w:hAnsi="Times New Roman" w:cs="Times New Roman"/>
              </w:rPr>
              <w:t>≤50</w:t>
            </w:r>
          </w:p>
        </w:tc>
        <w:tc>
          <w:tcPr>
            <w:tcW w:w="2291" w:type="dxa"/>
            <w:vAlign w:val="center"/>
          </w:tcPr>
          <w:p w14:paraId="5E70F9DF" w14:textId="4DC65B74" w:rsidR="001D743D"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28</w:t>
            </w:r>
          </w:p>
        </w:tc>
        <w:tc>
          <w:tcPr>
            <w:tcW w:w="1843" w:type="dxa"/>
            <w:vAlign w:val="center"/>
          </w:tcPr>
          <w:p w14:paraId="2F2EBC8D" w14:textId="0BCDE798" w:rsidR="001D743D" w:rsidRPr="001A1197" w:rsidRDefault="001D743D" w:rsidP="00C410BF">
            <w:pPr>
              <w:spacing w:line="288" w:lineRule="auto"/>
              <w:ind w:firstLine="38"/>
              <w:jc w:val="center"/>
              <w:rPr>
                <w:rFonts w:ascii="Times New Roman" w:hAnsi="Times New Roman" w:cs="Times New Roman"/>
              </w:rPr>
            </w:pPr>
            <w:r w:rsidRPr="001A1197">
              <w:rPr>
                <w:rFonts w:ascii="Times New Roman" w:hAnsi="Times New Roman" w:cs="Times New Roman"/>
              </w:rPr>
              <w:t>1</w:t>
            </w:r>
            <w:r w:rsidR="00D300DB" w:rsidRPr="001A1197">
              <w:rPr>
                <w:rFonts w:ascii="Times New Roman" w:hAnsi="Times New Roman" w:cs="Times New Roman"/>
              </w:rPr>
              <w:t>5.9</w:t>
            </w:r>
          </w:p>
        </w:tc>
      </w:tr>
      <w:tr w:rsidR="001A1197" w:rsidRPr="001A1197" w14:paraId="36A78475" w14:textId="77777777" w:rsidTr="002F7953">
        <w:trPr>
          <w:jc w:val="center"/>
        </w:trPr>
        <w:tc>
          <w:tcPr>
            <w:tcW w:w="3379" w:type="dxa"/>
            <w:vAlign w:val="center"/>
          </w:tcPr>
          <w:p w14:paraId="4E474F1A" w14:textId="77777777" w:rsidR="001D743D" w:rsidRPr="001A1197" w:rsidRDefault="001D743D" w:rsidP="00C410BF">
            <w:pPr>
              <w:spacing w:line="288" w:lineRule="auto"/>
              <w:rPr>
                <w:rFonts w:ascii="Times New Roman" w:hAnsi="Times New Roman" w:cs="Times New Roman"/>
              </w:rPr>
            </w:pPr>
            <w:r w:rsidRPr="001A1197">
              <w:rPr>
                <w:rFonts w:ascii="Times New Roman" w:hAnsi="Times New Roman" w:cs="Times New Roman"/>
              </w:rPr>
              <w:t>51-60</w:t>
            </w:r>
          </w:p>
        </w:tc>
        <w:tc>
          <w:tcPr>
            <w:tcW w:w="2291" w:type="dxa"/>
            <w:vAlign w:val="center"/>
          </w:tcPr>
          <w:p w14:paraId="20B27429" w14:textId="0D7B9D29" w:rsidR="001D743D"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16</w:t>
            </w:r>
          </w:p>
        </w:tc>
        <w:tc>
          <w:tcPr>
            <w:tcW w:w="1843" w:type="dxa"/>
            <w:vAlign w:val="center"/>
          </w:tcPr>
          <w:p w14:paraId="791F08F4" w14:textId="2CF4C4F4" w:rsidR="001D743D"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9.1</w:t>
            </w:r>
          </w:p>
        </w:tc>
      </w:tr>
      <w:tr w:rsidR="001A1197" w:rsidRPr="001A1197" w14:paraId="71A7E5A4" w14:textId="77777777" w:rsidTr="002F7953">
        <w:trPr>
          <w:jc w:val="center"/>
        </w:trPr>
        <w:tc>
          <w:tcPr>
            <w:tcW w:w="3379" w:type="dxa"/>
            <w:vAlign w:val="center"/>
          </w:tcPr>
          <w:p w14:paraId="5391543E" w14:textId="77777777" w:rsidR="001D743D" w:rsidRPr="001A1197" w:rsidRDefault="001D743D" w:rsidP="00C410BF">
            <w:pPr>
              <w:spacing w:line="288" w:lineRule="auto"/>
              <w:rPr>
                <w:rFonts w:ascii="Times New Roman" w:hAnsi="Times New Roman" w:cs="Times New Roman"/>
              </w:rPr>
            </w:pPr>
            <w:r w:rsidRPr="001A1197">
              <w:rPr>
                <w:rFonts w:ascii="Times New Roman" w:hAnsi="Times New Roman" w:cs="Times New Roman"/>
              </w:rPr>
              <w:t>61- 70</w:t>
            </w:r>
          </w:p>
        </w:tc>
        <w:tc>
          <w:tcPr>
            <w:tcW w:w="2291" w:type="dxa"/>
            <w:vAlign w:val="center"/>
          </w:tcPr>
          <w:p w14:paraId="0959C344" w14:textId="7B96EDEB" w:rsidR="001D743D"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44</w:t>
            </w:r>
          </w:p>
        </w:tc>
        <w:tc>
          <w:tcPr>
            <w:tcW w:w="1843" w:type="dxa"/>
            <w:vAlign w:val="center"/>
          </w:tcPr>
          <w:p w14:paraId="53A4BB07" w14:textId="684A9457" w:rsidR="001D743D" w:rsidRPr="001A1197" w:rsidRDefault="001D743D" w:rsidP="00C410BF">
            <w:pPr>
              <w:spacing w:line="288" w:lineRule="auto"/>
              <w:jc w:val="center"/>
              <w:rPr>
                <w:rFonts w:ascii="Times New Roman" w:hAnsi="Times New Roman" w:cs="Times New Roman"/>
              </w:rPr>
            </w:pPr>
            <w:r w:rsidRPr="001A1197">
              <w:rPr>
                <w:rFonts w:ascii="Times New Roman" w:hAnsi="Times New Roman" w:cs="Times New Roman"/>
              </w:rPr>
              <w:t>2</w:t>
            </w:r>
            <w:r w:rsidR="00D300DB" w:rsidRPr="001A1197">
              <w:rPr>
                <w:rFonts w:ascii="Times New Roman" w:hAnsi="Times New Roman" w:cs="Times New Roman"/>
              </w:rPr>
              <w:t>5.0</w:t>
            </w:r>
          </w:p>
        </w:tc>
      </w:tr>
      <w:tr w:rsidR="001A1197" w:rsidRPr="001A1197" w14:paraId="0B10EAAC" w14:textId="77777777" w:rsidTr="002F7953">
        <w:trPr>
          <w:jc w:val="center"/>
        </w:trPr>
        <w:tc>
          <w:tcPr>
            <w:tcW w:w="3379" w:type="dxa"/>
            <w:tcBorders>
              <w:bottom w:val="single" w:sz="4" w:space="0" w:color="auto"/>
            </w:tcBorders>
            <w:vAlign w:val="center"/>
          </w:tcPr>
          <w:p w14:paraId="5121A635" w14:textId="77777777" w:rsidR="001D743D" w:rsidRPr="001A1197" w:rsidRDefault="001D743D" w:rsidP="00C410BF">
            <w:pPr>
              <w:spacing w:line="288" w:lineRule="auto"/>
              <w:rPr>
                <w:rFonts w:ascii="Times New Roman" w:hAnsi="Times New Roman" w:cs="Times New Roman"/>
              </w:rPr>
            </w:pPr>
            <w:r w:rsidRPr="001A1197">
              <w:rPr>
                <w:rFonts w:ascii="Times New Roman" w:hAnsi="Times New Roman" w:cs="Times New Roman"/>
              </w:rPr>
              <w:t>&gt;70</w:t>
            </w:r>
          </w:p>
        </w:tc>
        <w:tc>
          <w:tcPr>
            <w:tcW w:w="2291" w:type="dxa"/>
            <w:tcBorders>
              <w:bottom w:val="single" w:sz="4" w:space="0" w:color="auto"/>
            </w:tcBorders>
            <w:vAlign w:val="center"/>
          </w:tcPr>
          <w:p w14:paraId="12F2332C" w14:textId="3537E5B5" w:rsidR="001D743D"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88</w:t>
            </w:r>
          </w:p>
        </w:tc>
        <w:tc>
          <w:tcPr>
            <w:tcW w:w="1843" w:type="dxa"/>
            <w:tcBorders>
              <w:bottom w:val="single" w:sz="4" w:space="0" w:color="auto"/>
            </w:tcBorders>
            <w:vAlign w:val="center"/>
          </w:tcPr>
          <w:p w14:paraId="70A1D262" w14:textId="0E2FBB77" w:rsidR="001D743D" w:rsidRPr="001A1197" w:rsidRDefault="00D300DB" w:rsidP="00C410BF">
            <w:pPr>
              <w:spacing w:line="288" w:lineRule="auto"/>
              <w:jc w:val="center"/>
              <w:rPr>
                <w:rFonts w:ascii="Times New Roman" w:hAnsi="Times New Roman" w:cs="Times New Roman"/>
                <w:b/>
                <w:bCs/>
              </w:rPr>
            </w:pPr>
            <w:r w:rsidRPr="001A1197">
              <w:rPr>
                <w:rFonts w:ascii="Times New Roman" w:hAnsi="Times New Roman" w:cs="Times New Roman"/>
                <w:b/>
                <w:bCs/>
              </w:rPr>
              <w:t>50.0</w:t>
            </w:r>
          </w:p>
        </w:tc>
      </w:tr>
      <w:tr w:rsidR="001A1197" w:rsidRPr="001A1197" w14:paraId="0E531E59" w14:textId="77777777" w:rsidTr="002F7953">
        <w:trPr>
          <w:jc w:val="center"/>
        </w:trPr>
        <w:tc>
          <w:tcPr>
            <w:tcW w:w="3379" w:type="dxa"/>
            <w:tcBorders>
              <w:top w:val="single" w:sz="4" w:space="0" w:color="auto"/>
            </w:tcBorders>
            <w:vAlign w:val="center"/>
          </w:tcPr>
          <w:p w14:paraId="7EDFD9F9" w14:textId="6443D597" w:rsidR="00291CB8" w:rsidRPr="001A1197" w:rsidRDefault="007B2225" w:rsidP="00C410BF">
            <w:pPr>
              <w:spacing w:line="288" w:lineRule="auto"/>
              <w:rPr>
                <w:rFonts w:ascii="Times New Roman" w:hAnsi="Times New Roman" w:cs="Times New Roman"/>
                <w:b/>
                <w:bCs/>
              </w:rPr>
            </w:pPr>
            <w:r w:rsidRPr="001A1197">
              <w:rPr>
                <w:rFonts w:ascii="Times New Roman" w:hAnsi="Times New Roman" w:cs="Times New Roman"/>
                <w:b/>
                <w:bCs/>
              </w:rPr>
              <w:t>Gender</w:t>
            </w:r>
          </w:p>
        </w:tc>
        <w:tc>
          <w:tcPr>
            <w:tcW w:w="2291" w:type="dxa"/>
            <w:tcBorders>
              <w:top w:val="single" w:sz="4" w:space="0" w:color="auto"/>
            </w:tcBorders>
            <w:vAlign w:val="center"/>
          </w:tcPr>
          <w:p w14:paraId="6CBA1087" w14:textId="77777777" w:rsidR="00291CB8" w:rsidRPr="001A1197" w:rsidRDefault="00291CB8" w:rsidP="00C410BF">
            <w:pPr>
              <w:spacing w:line="288" w:lineRule="auto"/>
              <w:jc w:val="center"/>
              <w:rPr>
                <w:rFonts w:ascii="Times New Roman" w:hAnsi="Times New Roman" w:cs="Times New Roman"/>
              </w:rPr>
            </w:pPr>
          </w:p>
        </w:tc>
        <w:tc>
          <w:tcPr>
            <w:tcW w:w="1843" w:type="dxa"/>
            <w:tcBorders>
              <w:top w:val="single" w:sz="4" w:space="0" w:color="auto"/>
            </w:tcBorders>
            <w:vAlign w:val="center"/>
          </w:tcPr>
          <w:p w14:paraId="3918FA9D" w14:textId="77777777" w:rsidR="00291CB8" w:rsidRPr="001A1197" w:rsidRDefault="00291CB8" w:rsidP="00C410BF">
            <w:pPr>
              <w:spacing w:line="288" w:lineRule="auto"/>
              <w:jc w:val="center"/>
              <w:rPr>
                <w:rFonts w:ascii="Times New Roman" w:hAnsi="Times New Roman" w:cs="Times New Roman"/>
              </w:rPr>
            </w:pPr>
          </w:p>
        </w:tc>
      </w:tr>
      <w:tr w:rsidR="001A1197" w:rsidRPr="001A1197" w14:paraId="0BEAFEB6" w14:textId="77777777" w:rsidTr="002F7953">
        <w:trPr>
          <w:jc w:val="center"/>
        </w:trPr>
        <w:tc>
          <w:tcPr>
            <w:tcW w:w="3379" w:type="dxa"/>
            <w:vAlign w:val="center"/>
          </w:tcPr>
          <w:p w14:paraId="06ED50A8" w14:textId="6779163D" w:rsidR="00291CB8" w:rsidRPr="001A1197" w:rsidRDefault="007B2225" w:rsidP="00C410BF">
            <w:pPr>
              <w:spacing w:line="288" w:lineRule="auto"/>
              <w:rPr>
                <w:rFonts w:ascii="Times New Roman" w:hAnsi="Times New Roman" w:cs="Times New Roman"/>
              </w:rPr>
            </w:pPr>
            <w:r w:rsidRPr="001A1197">
              <w:rPr>
                <w:rFonts w:ascii="Times New Roman" w:hAnsi="Times New Roman" w:cs="Times New Roman"/>
              </w:rPr>
              <w:t>Male</w:t>
            </w:r>
          </w:p>
        </w:tc>
        <w:tc>
          <w:tcPr>
            <w:tcW w:w="2291" w:type="dxa"/>
            <w:vAlign w:val="center"/>
          </w:tcPr>
          <w:p w14:paraId="593BEB30" w14:textId="4C58E784" w:rsidR="00291CB8" w:rsidRPr="001A1197" w:rsidRDefault="00D300DB" w:rsidP="00C410BF">
            <w:pPr>
              <w:spacing w:line="288" w:lineRule="auto"/>
              <w:jc w:val="center"/>
              <w:rPr>
                <w:rFonts w:ascii="Times New Roman" w:hAnsi="Times New Roman" w:cs="Times New Roman"/>
                <w:b/>
                <w:bCs/>
              </w:rPr>
            </w:pPr>
            <w:r w:rsidRPr="001A1197">
              <w:rPr>
                <w:rFonts w:ascii="Times New Roman" w:hAnsi="Times New Roman" w:cs="Times New Roman"/>
                <w:b/>
                <w:bCs/>
              </w:rPr>
              <w:t>111</w:t>
            </w:r>
          </w:p>
        </w:tc>
        <w:tc>
          <w:tcPr>
            <w:tcW w:w="1843" w:type="dxa"/>
            <w:vAlign w:val="center"/>
          </w:tcPr>
          <w:p w14:paraId="6ABA6614" w14:textId="528CC106" w:rsidR="00291CB8" w:rsidRPr="001A1197" w:rsidRDefault="00D300DB" w:rsidP="00C410BF">
            <w:pPr>
              <w:spacing w:line="288" w:lineRule="auto"/>
              <w:jc w:val="center"/>
              <w:rPr>
                <w:rFonts w:ascii="Times New Roman" w:hAnsi="Times New Roman" w:cs="Times New Roman"/>
                <w:b/>
                <w:bCs/>
              </w:rPr>
            </w:pPr>
            <w:r w:rsidRPr="001A1197">
              <w:rPr>
                <w:rFonts w:ascii="Times New Roman" w:hAnsi="Times New Roman" w:cs="Times New Roman"/>
                <w:b/>
                <w:bCs/>
              </w:rPr>
              <w:t>63.1</w:t>
            </w:r>
          </w:p>
        </w:tc>
      </w:tr>
      <w:tr w:rsidR="001A1197" w:rsidRPr="001A1197" w14:paraId="7335C2E9" w14:textId="77777777" w:rsidTr="002F7953">
        <w:trPr>
          <w:jc w:val="center"/>
        </w:trPr>
        <w:tc>
          <w:tcPr>
            <w:tcW w:w="3379" w:type="dxa"/>
            <w:tcBorders>
              <w:bottom w:val="single" w:sz="4" w:space="0" w:color="auto"/>
            </w:tcBorders>
            <w:vAlign w:val="center"/>
          </w:tcPr>
          <w:p w14:paraId="33228F67" w14:textId="40958E82" w:rsidR="00291CB8" w:rsidRPr="001A1197" w:rsidRDefault="007B2225" w:rsidP="00C410BF">
            <w:pPr>
              <w:spacing w:line="288" w:lineRule="auto"/>
              <w:rPr>
                <w:rFonts w:ascii="Times New Roman" w:hAnsi="Times New Roman" w:cs="Times New Roman"/>
              </w:rPr>
            </w:pPr>
            <w:r w:rsidRPr="001A1197">
              <w:rPr>
                <w:rFonts w:ascii="Times New Roman" w:hAnsi="Times New Roman" w:cs="Times New Roman"/>
              </w:rPr>
              <w:t>Female</w:t>
            </w:r>
          </w:p>
        </w:tc>
        <w:tc>
          <w:tcPr>
            <w:tcW w:w="2291" w:type="dxa"/>
            <w:tcBorders>
              <w:bottom w:val="single" w:sz="4" w:space="0" w:color="auto"/>
            </w:tcBorders>
            <w:vAlign w:val="center"/>
          </w:tcPr>
          <w:p w14:paraId="4FE43C1B" w14:textId="3AE53DB0" w:rsidR="00291CB8"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65</w:t>
            </w:r>
          </w:p>
        </w:tc>
        <w:tc>
          <w:tcPr>
            <w:tcW w:w="1843" w:type="dxa"/>
            <w:tcBorders>
              <w:bottom w:val="single" w:sz="4" w:space="0" w:color="auto"/>
            </w:tcBorders>
            <w:vAlign w:val="center"/>
          </w:tcPr>
          <w:p w14:paraId="01E2C1E9" w14:textId="08801FFC" w:rsidR="00291CB8" w:rsidRPr="001A1197" w:rsidRDefault="00D300DB" w:rsidP="00C410BF">
            <w:pPr>
              <w:spacing w:line="288" w:lineRule="auto"/>
              <w:jc w:val="center"/>
              <w:rPr>
                <w:rFonts w:ascii="Times New Roman" w:hAnsi="Times New Roman" w:cs="Times New Roman"/>
              </w:rPr>
            </w:pPr>
            <w:r w:rsidRPr="001A1197">
              <w:rPr>
                <w:rFonts w:ascii="Times New Roman" w:hAnsi="Times New Roman" w:cs="Times New Roman"/>
              </w:rPr>
              <w:t>36.9</w:t>
            </w:r>
          </w:p>
        </w:tc>
      </w:tr>
      <w:tr w:rsidR="001A1197" w:rsidRPr="001A1197" w14:paraId="36A01763" w14:textId="77777777" w:rsidTr="002F7953">
        <w:trPr>
          <w:jc w:val="center"/>
        </w:trPr>
        <w:tc>
          <w:tcPr>
            <w:tcW w:w="3379" w:type="dxa"/>
            <w:tcBorders>
              <w:top w:val="single" w:sz="4" w:space="0" w:color="auto"/>
            </w:tcBorders>
            <w:vAlign w:val="center"/>
          </w:tcPr>
          <w:p w14:paraId="1857CB7D" w14:textId="53129E5B" w:rsidR="00291CB8" w:rsidRPr="001A1197" w:rsidRDefault="007B2225" w:rsidP="00C410BF">
            <w:pPr>
              <w:spacing w:line="288" w:lineRule="auto"/>
              <w:rPr>
                <w:rFonts w:ascii="Times New Roman" w:hAnsi="Times New Roman" w:cs="Times New Roman"/>
                <w:b/>
                <w:bCs/>
              </w:rPr>
            </w:pPr>
            <w:r w:rsidRPr="001A1197">
              <w:rPr>
                <w:rFonts w:ascii="Times New Roman" w:hAnsi="Times New Roman" w:cs="Times New Roman"/>
                <w:b/>
                <w:bCs/>
              </w:rPr>
              <w:t>Fluid color</w:t>
            </w:r>
          </w:p>
        </w:tc>
        <w:tc>
          <w:tcPr>
            <w:tcW w:w="2291" w:type="dxa"/>
            <w:tcBorders>
              <w:top w:val="single" w:sz="4" w:space="0" w:color="auto"/>
            </w:tcBorders>
            <w:vAlign w:val="center"/>
          </w:tcPr>
          <w:p w14:paraId="7B2631DB" w14:textId="77777777" w:rsidR="00291CB8" w:rsidRPr="001A1197" w:rsidRDefault="00291CB8" w:rsidP="00C410BF">
            <w:pPr>
              <w:spacing w:line="288" w:lineRule="auto"/>
              <w:jc w:val="center"/>
              <w:rPr>
                <w:rFonts w:ascii="Times New Roman" w:hAnsi="Times New Roman" w:cs="Times New Roman"/>
              </w:rPr>
            </w:pPr>
          </w:p>
        </w:tc>
        <w:tc>
          <w:tcPr>
            <w:tcW w:w="1843" w:type="dxa"/>
            <w:tcBorders>
              <w:top w:val="single" w:sz="4" w:space="0" w:color="auto"/>
            </w:tcBorders>
            <w:vAlign w:val="center"/>
          </w:tcPr>
          <w:p w14:paraId="03538849" w14:textId="77777777" w:rsidR="00291CB8" w:rsidRPr="001A1197" w:rsidRDefault="00291CB8" w:rsidP="00C410BF">
            <w:pPr>
              <w:spacing w:line="288" w:lineRule="auto"/>
              <w:jc w:val="center"/>
              <w:rPr>
                <w:rFonts w:ascii="Times New Roman" w:hAnsi="Times New Roman" w:cs="Times New Roman"/>
              </w:rPr>
            </w:pPr>
          </w:p>
        </w:tc>
      </w:tr>
      <w:tr w:rsidR="001A1197" w:rsidRPr="001A1197" w14:paraId="31FA0637" w14:textId="77777777" w:rsidTr="002F7953">
        <w:trPr>
          <w:jc w:val="center"/>
        </w:trPr>
        <w:tc>
          <w:tcPr>
            <w:tcW w:w="3379" w:type="dxa"/>
          </w:tcPr>
          <w:p w14:paraId="5C09674E" w14:textId="274C0F2B" w:rsidR="00291CB8" w:rsidRPr="001A1197" w:rsidRDefault="007B2225" w:rsidP="00C410BF">
            <w:pPr>
              <w:spacing w:line="288" w:lineRule="auto"/>
              <w:rPr>
                <w:rFonts w:ascii="Times New Roman" w:hAnsi="Times New Roman" w:cs="Times New Roman"/>
                <w:b/>
                <w:bCs/>
              </w:rPr>
            </w:pPr>
            <w:r w:rsidRPr="001A1197">
              <w:rPr>
                <w:rFonts w:ascii="Times New Roman" w:hAnsi="Times New Roman" w:cs="Times New Roman"/>
              </w:rPr>
              <w:t>Red</w:t>
            </w:r>
          </w:p>
        </w:tc>
        <w:tc>
          <w:tcPr>
            <w:tcW w:w="2291" w:type="dxa"/>
            <w:vAlign w:val="center"/>
          </w:tcPr>
          <w:p w14:paraId="6FCD09C7" w14:textId="420F259A"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43</w:t>
            </w:r>
            <w:r w:rsidRPr="001A1197">
              <w:rPr>
                <w:rFonts w:ascii="Times New Roman" w:hAnsi="Times New Roman" w:cs="Times New Roman"/>
                <w:lang w:val="vi-VN"/>
              </w:rPr>
              <w:t xml:space="preserve"> </w:t>
            </w:r>
          </w:p>
        </w:tc>
        <w:tc>
          <w:tcPr>
            <w:tcW w:w="1843" w:type="dxa"/>
            <w:vAlign w:val="center"/>
          </w:tcPr>
          <w:p w14:paraId="27FD0D75" w14:textId="489FCD41"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24.4</w:t>
            </w:r>
          </w:p>
        </w:tc>
      </w:tr>
      <w:tr w:rsidR="001A1197" w:rsidRPr="001A1197" w14:paraId="162CBB9E" w14:textId="77777777" w:rsidTr="002F7953">
        <w:trPr>
          <w:jc w:val="center"/>
        </w:trPr>
        <w:tc>
          <w:tcPr>
            <w:tcW w:w="3379" w:type="dxa"/>
          </w:tcPr>
          <w:p w14:paraId="36047EE1" w14:textId="1DA3B60F" w:rsidR="00291CB8" w:rsidRPr="001A1197" w:rsidRDefault="007B2225" w:rsidP="00C410BF">
            <w:pPr>
              <w:spacing w:line="288" w:lineRule="auto"/>
              <w:rPr>
                <w:rFonts w:ascii="Times New Roman" w:hAnsi="Times New Roman" w:cs="Times New Roman"/>
                <w:b/>
                <w:bCs/>
              </w:rPr>
            </w:pPr>
            <w:r w:rsidRPr="001A1197">
              <w:rPr>
                <w:rFonts w:ascii="Times New Roman" w:hAnsi="Times New Roman" w:cs="Times New Roman"/>
              </w:rPr>
              <w:t>Serosanguinous</w:t>
            </w:r>
          </w:p>
        </w:tc>
        <w:tc>
          <w:tcPr>
            <w:tcW w:w="2291" w:type="dxa"/>
            <w:vAlign w:val="center"/>
          </w:tcPr>
          <w:p w14:paraId="6584601E" w14:textId="0C536B17"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48</w:t>
            </w:r>
            <w:r w:rsidRPr="001A1197">
              <w:rPr>
                <w:rFonts w:ascii="Times New Roman" w:hAnsi="Times New Roman" w:cs="Times New Roman"/>
                <w:lang w:val="vi-VN"/>
              </w:rPr>
              <w:t xml:space="preserve"> </w:t>
            </w:r>
          </w:p>
        </w:tc>
        <w:tc>
          <w:tcPr>
            <w:tcW w:w="1843" w:type="dxa"/>
            <w:vAlign w:val="center"/>
          </w:tcPr>
          <w:p w14:paraId="22684BB2" w14:textId="460ACAE9"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27.3</w:t>
            </w:r>
          </w:p>
        </w:tc>
      </w:tr>
      <w:tr w:rsidR="001A1197" w:rsidRPr="001A1197" w14:paraId="33AA10C2" w14:textId="77777777" w:rsidTr="002F7953">
        <w:trPr>
          <w:jc w:val="center"/>
        </w:trPr>
        <w:tc>
          <w:tcPr>
            <w:tcW w:w="3379" w:type="dxa"/>
            <w:tcBorders>
              <w:bottom w:val="single" w:sz="4" w:space="0" w:color="auto"/>
            </w:tcBorders>
          </w:tcPr>
          <w:p w14:paraId="21BFF640" w14:textId="45B1FCE2" w:rsidR="00291CB8" w:rsidRPr="001A1197" w:rsidRDefault="007B2225" w:rsidP="00C410BF">
            <w:pPr>
              <w:spacing w:line="288" w:lineRule="auto"/>
              <w:rPr>
                <w:rFonts w:ascii="Times New Roman" w:hAnsi="Times New Roman" w:cs="Times New Roman"/>
              </w:rPr>
            </w:pPr>
            <w:r w:rsidRPr="001A1197">
              <w:rPr>
                <w:rFonts w:ascii="Times New Roman" w:hAnsi="Times New Roman" w:cs="Times New Roman"/>
              </w:rPr>
              <w:t>Yellow</w:t>
            </w:r>
          </w:p>
        </w:tc>
        <w:tc>
          <w:tcPr>
            <w:tcW w:w="2291" w:type="dxa"/>
            <w:tcBorders>
              <w:bottom w:val="single" w:sz="4" w:space="0" w:color="auto"/>
            </w:tcBorders>
            <w:vAlign w:val="center"/>
          </w:tcPr>
          <w:p w14:paraId="5C56AB92" w14:textId="7CBC53D1" w:rsidR="00291CB8" w:rsidRPr="001A1197" w:rsidRDefault="00291CB8" w:rsidP="00C410BF">
            <w:pPr>
              <w:spacing w:line="288" w:lineRule="auto"/>
              <w:jc w:val="center"/>
              <w:rPr>
                <w:rFonts w:ascii="Times New Roman" w:hAnsi="Times New Roman" w:cs="Times New Roman"/>
                <w:b/>
                <w:bCs/>
              </w:rPr>
            </w:pPr>
            <w:r w:rsidRPr="001A1197">
              <w:rPr>
                <w:rFonts w:ascii="Times New Roman" w:hAnsi="Times New Roman" w:cs="Times New Roman"/>
                <w:b/>
                <w:bCs/>
              </w:rPr>
              <w:t>85</w:t>
            </w:r>
            <w:r w:rsidRPr="001A1197">
              <w:rPr>
                <w:rFonts w:ascii="Times New Roman" w:hAnsi="Times New Roman" w:cs="Times New Roman"/>
                <w:b/>
                <w:bCs/>
                <w:lang w:val="vi-VN"/>
              </w:rPr>
              <w:t xml:space="preserve"> </w:t>
            </w:r>
          </w:p>
        </w:tc>
        <w:tc>
          <w:tcPr>
            <w:tcW w:w="1843" w:type="dxa"/>
            <w:tcBorders>
              <w:bottom w:val="single" w:sz="4" w:space="0" w:color="auto"/>
            </w:tcBorders>
            <w:vAlign w:val="center"/>
          </w:tcPr>
          <w:p w14:paraId="0400F455" w14:textId="2C2043B1" w:rsidR="00291CB8" w:rsidRPr="001A1197" w:rsidRDefault="00291CB8" w:rsidP="00C410BF">
            <w:pPr>
              <w:spacing w:line="288" w:lineRule="auto"/>
              <w:jc w:val="center"/>
              <w:rPr>
                <w:rFonts w:ascii="Times New Roman" w:hAnsi="Times New Roman" w:cs="Times New Roman"/>
                <w:b/>
                <w:bCs/>
              </w:rPr>
            </w:pPr>
            <w:r w:rsidRPr="001A1197">
              <w:rPr>
                <w:rFonts w:ascii="Times New Roman" w:hAnsi="Times New Roman" w:cs="Times New Roman"/>
                <w:b/>
                <w:bCs/>
              </w:rPr>
              <w:t>48.3</w:t>
            </w:r>
          </w:p>
        </w:tc>
      </w:tr>
      <w:tr w:rsidR="001A1197" w:rsidRPr="001A1197" w14:paraId="2B6C34BD" w14:textId="77777777" w:rsidTr="002F7953">
        <w:trPr>
          <w:jc w:val="center"/>
        </w:trPr>
        <w:tc>
          <w:tcPr>
            <w:tcW w:w="3379" w:type="dxa"/>
            <w:tcBorders>
              <w:top w:val="single" w:sz="4" w:space="0" w:color="auto"/>
            </w:tcBorders>
          </w:tcPr>
          <w:p w14:paraId="32C646E5" w14:textId="294BE813" w:rsidR="00291CB8" w:rsidRPr="001A1197" w:rsidRDefault="00157C88" w:rsidP="00C410BF">
            <w:pPr>
              <w:spacing w:line="288" w:lineRule="auto"/>
              <w:rPr>
                <w:rFonts w:ascii="Times New Roman" w:hAnsi="Times New Roman" w:cs="Times New Roman"/>
                <w:b/>
                <w:bCs/>
              </w:rPr>
            </w:pPr>
            <w:r w:rsidRPr="001A1197">
              <w:rPr>
                <w:rFonts w:ascii="Times New Roman" w:hAnsi="Times New Roman" w:cs="Times New Roman"/>
                <w:b/>
                <w:bCs/>
              </w:rPr>
              <w:t>Fluid volume</w:t>
            </w:r>
          </w:p>
        </w:tc>
        <w:tc>
          <w:tcPr>
            <w:tcW w:w="2291" w:type="dxa"/>
            <w:tcBorders>
              <w:top w:val="single" w:sz="4" w:space="0" w:color="auto"/>
            </w:tcBorders>
            <w:vAlign w:val="center"/>
          </w:tcPr>
          <w:p w14:paraId="7B9A841F" w14:textId="77777777" w:rsidR="00291CB8" w:rsidRPr="001A1197" w:rsidRDefault="00291CB8" w:rsidP="00C410BF">
            <w:pPr>
              <w:spacing w:line="288" w:lineRule="auto"/>
              <w:jc w:val="center"/>
              <w:rPr>
                <w:rFonts w:ascii="Times New Roman" w:hAnsi="Times New Roman" w:cs="Times New Roman"/>
              </w:rPr>
            </w:pPr>
          </w:p>
        </w:tc>
        <w:tc>
          <w:tcPr>
            <w:tcW w:w="1843" w:type="dxa"/>
            <w:tcBorders>
              <w:top w:val="single" w:sz="4" w:space="0" w:color="auto"/>
            </w:tcBorders>
            <w:vAlign w:val="center"/>
          </w:tcPr>
          <w:p w14:paraId="71CB9DA8" w14:textId="77777777" w:rsidR="00291CB8" w:rsidRPr="001A1197" w:rsidRDefault="00291CB8" w:rsidP="00C410BF">
            <w:pPr>
              <w:spacing w:line="288" w:lineRule="auto"/>
              <w:jc w:val="center"/>
              <w:rPr>
                <w:rFonts w:ascii="Times New Roman" w:hAnsi="Times New Roman" w:cs="Times New Roman"/>
              </w:rPr>
            </w:pPr>
          </w:p>
        </w:tc>
      </w:tr>
      <w:tr w:rsidR="001A1197" w:rsidRPr="001A1197" w14:paraId="5ABEB7A9" w14:textId="77777777" w:rsidTr="002F7953">
        <w:trPr>
          <w:jc w:val="center"/>
        </w:trPr>
        <w:tc>
          <w:tcPr>
            <w:tcW w:w="3379" w:type="dxa"/>
          </w:tcPr>
          <w:p w14:paraId="23E50073" w14:textId="7DEF7812" w:rsidR="00291CB8" w:rsidRPr="001A1197" w:rsidRDefault="00291CB8" w:rsidP="00C410BF">
            <w:pPr>
              <w:spacing w:line="288" w:lineRule="auto"/>
              <w:rPr>
                <w:rFonts w:ascii="Times New Roman" w:eastAsia="Calibri" w:hAnsi="Times New Roman" w:cs="Times New Roman"/>
              </w:rPr>
            </w:pPr>
            <w:r w:rsidRPr="001A1197">
              <w:rPr>
                <w:rFonts w:ascii="Times New Roman" w:eastAsia="Calibri" w:hAnsi="Times New Roman" w:cs="Times New Roman"/>
              </w:rPr>
              <w:t>&lt;50 mL</w:t>
            </w:r>
          </w:p>
        </w:tc>
        <w:tc>
          <w:tcPr>
            <w:tcW w:w="2291" w:type="dxa"/>
            <w:vAlign w:val="center"/>
          </w:tcPr>
          <w:p w14:paraId="234EF7A6" w14:textId="63AB89F5"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 xml:space="preserve">22 </w:t>
            </w:r>
          </w:p>
        </w:tc>
        <w:tc>
          <w:tcPr>
            <w:tcW w:w="1843" w:type="dxa"/>
            <w:vAlign w:val="center"/>
          </w:tcPr>
          <w:p w14:paraId="277F53CD" w14:textId="1E634A8D"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12.5</w:t>
            </w:r>
          </w:p>
        </w:tc>
      </w:tr>
      <w:tr w:rsidR="001A1197" w:rsidRPr="001A1197" w14:paraId="0F2BE4EB" w14:textId="77777777" w:rsidTr="002F7953">
        <w:trPr>
          <w:jc w:val="center"/>
        </w:trPr>
        <w:tc>
          <w:tcPr>
            <w:tcW w:w="3379" w:type="dxa"/>
          </w:tcPr>
          <w:p w14:paraId="05C7B843" w14:textId="77DDB8AA" w:rsidR="00291CB8" w:rsidRPr="001A1197" w:rsidRDefault="00291CB8" w:rsidP="00C410BF">
            <w:pPr>
              <w:spacing w:line="288" w:lineRule="auto"/>
              <w:rPr>
                <w:rFonts w:ascii="Times New Roman" w:eastAsia="Calibri" w:hAnsi="Times New Roman" w:cs="Times New Roman"/>
              </w:rPr>
            </w:pPr>
            <w:r w:rsidRPr="001A1197">
              <w:rPr>
                <w:rFonts w:ascii="Times New Roman" w:eastAsia="Calibri" w:hAnsi="Times New Roman" w:cs="Times New Roman"/>
              </w:rPr>
              <w:t>50 – 250 mL</w:t>
            </w:r>
          </w:p>
        </w:tc>
        <w:tc>
          <w:tcPr>
            <w:tcW w:w="2291" w:type="dxa"/>
            <w:vAlign w:val="center"/>
          </w:tcPr>
          <w:p w14:paraId="59F48568" w14:textId="03ECCCC1"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 xml:space="preserve">56 </w:t>
            </w:r>
          </w:p>
        </w:tc>
        <w:tc>
          <w:tcPr>
            <w:tcW w:w="1843" w:type="dxa"/>
            <w:vAlign w:val="center"/>
          </w:tcPr>
          <w:p w14:paraId="14AEC0EC" w14:textId="59E52378"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31.8</w:t>
            </w:r>
          </w:p>
        </w:tc>
      </w:tr>
      <w:tr w:rsidR="001A1197" w:rsidRPr="001A1197" w14:paraId="52193AFA" w14:textId="77777777" w:rsidTr="002F7953">
        <w:trPr>
          <w:jc w:val="center"/>
        </w:trPr>
        <w:tc>
          <w:tcPr>
            <w:tcW w:w="3379" w:type="dxa"/>
          </w:tcPr>
          <w:p w14:paraId="08B23793" w14:textId="445CB8B2" w:rsidR="00291CB8" w:rsidRPr="001A1197" w:rsidRDefault="00291CB8" w:rsidP="00C410BF">
            <w:pPr>
              <w:spacing w:line="288" w:lineRule="auto"/>
              <w:rPr>
                <w:rFonts w:ascii="Times New Roman" w:eastAsia="Calibri" w:hAnsi="Times New Roman" w:cs="Times New Roman"/>
              </w:rPr>
            </w:pPr>
            <w:r w:rsidRPr="001A1197">
              <w:rPr>
                <w:rFonts w:ascii="Times New Roman" w:eastAsia="Calibri" w:hAnsi="Times New Roman" w:cs="Times New Roman"/>
              </w:rPr>
              <w:t>&gt;250 – 500 mL</w:t>
            </w:r>
          </w:p>
        </w:tc>
        <w:tc>
          <w:tcPr>
            <w:tcW w:w="2291" w:type="dxa"/>
            <w:vAlign w:val="center"/>
          </w:tcPr>
          <w:p w14:paraId="380AC3F7" w14:textId="772F701C"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b/>
                <w:bCs/>
              </w:rPr>
              <w:t xml:space="preserve">81 </w:t>
            </w:r>
          </w:p>
        </w:tc>
        <w:tc>
          <w:tcPr>
            <w:tcW w:w="1843" w:type="dxa"/>
            <w:vAlign w:val="center"/>
          </w:tcPr>
          <w:p w14:paraId="100CB21A" w14:textId="3EA42413" w:rsidR="00291CB8" w:rsidRPr="001A1197" w:rsidRDefault="00291CB8" w:rsidP="00C410BF">
            <w:pPr>
              <w:spacing w:line="288" w:lineRule="auto"/>
              <w:jc w:val="center"/>
              <w:rPr>
                <w:rFonts w:ascii="Times New Roman" w:hAnsi="Times New Roman" w:cs="Times New Roman"/>
                <w:b/>
                <w:bCs/>
              </w:rPr>
            </w:pPr>
            <w:r w:rsidRPr="001A1197">
              <w:rPr>
                <w:rFonts w:ascii="Times New Roman" w:hAnsi="Times New Roman" w:cs="Times New Roman"/>
                <w:b/>
                <w:bCs/>
              </w:rPr>
              <w:t>46.0</w:t>
            </w:r>
          </w:p>
        </w:tc>
      </w:tr>
      <w:tr w:rsidR="001A1197" w:rsidRPr="001A1197" w14:paraId="00C7CA62" w14:textId="77777777" w:rsidTr="002F7953">
        <w:trPr>
          <w:jc w:val="center"/>
        </w:trPr>
        <w:tc>
          <w:tcPr>
            <w:tcW w:w="3379" w:type="dxa"/>
            <w:tcBorders>
              <w:bottom w:val="single" w:sz="4" w:space="0" w:color="auto"/>
            </w:tcBorders>
          </w:tcPr>
          <w:p w14:paraId="13C3CE0E" w14:textId="419C4EA9" w:rsidR="00291CB8" w:rsidRPr="001A1197" w:rsidRDefault="00291CB8" w:rsidP="00C410BF">
            <w:pPr>
              <w:spacing w:line="288" w:lineRule="auto"/>
              <w:rPr>
                <w:rFonts w:ascii="Times New Roman" w:eastAsia="Calibri" w:hAnsi="Times New Roman" w:cs="Times New Roman"/>
              </w:rPr>
            </w:pPr>
            <w:r w:rsidRPr="001A1197">
              <w:rPr>
                <w:rFonts w:ascii="Times New Roman" w:eastAsia="Calibri" w:hAnsi="Times New Roman" w:cs="Times New Roman"/>
              </w:rPr>
              <w:t>&gt;500 mL</w:t>
            </w:r>
          </w:p>
        </w:tc>
        <w:tc>
          <w:tcPr>
            <w:tcW w:w="2291" w:type="dxa"/>
            <w:tcBorders>
              <w:bottom w:val="single" w:sz="4" w:space="0" w:color="auto"/>
            </w:tcBorders>
            <w:vAlign w:val="center"/>
          </w:tcPr>
          <w:p w14:paraId="59C4ABDA" w14:textId="11C42AA4"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 xml:space="preserve">17 </w:t>
            </w:r>
          </w:p>
        </w:tc>
        <w:tc>
          <w:tcPr>
            <w:tcW w:w="1843" w:type="dxa"/>
            <w:tcBorders>
              <w:bottom w:val="single" w:sz="4" w:space="0" w:color="auto"/>
            </w:tcBorders>
            <w:vAlign w:val="center"/>
          </w:tcPr>
          <w:p w14:paraId="6901AFF2" w14:textId="03056199" w:rsidR="00291CB8" w:rsidRPr="001A1197" w:rsidRDefault="00291CB8" w:rsidP="00C410BF">
            <w:pPr>
              <w:spacing w:line="288" w:lineRule="auto"/>
              <w:jc w:val="center"/>
              <w:rPr>
                <w:rFonts w:ascii="Times New Roman" w:hAnsi="Times New Roman" w:cs="Times New Roman"/>
              </w:rPr>
            </w:pPr>
            <w:r w:rsidRPr="001A1197">
              <w:rPr>
                <w:rFonts w:ascii="Times New Roman" w:hAnsi="Times New Roman" w:cs="Times New Roman"/>
              </w:rPr>
              <w:t>9.7</w:t>
            </w:r>
          </w:p>
        </w:tc>
      </w:tr>
      <w:tr w:rsidR="001A1197" w:rsidRPr="001A1197" w14:paraId="1669CD44" w14:textId="77777777" w:rsidTr="002F7953">
        <w:trPr>
          <w:jc w:val="center"/>
        </w:trPr>
        <w:tc>
          <w:tcPr>
            <w:tcW w:w="3379" w:type="dxa"/>
            <w:tcBorders>
              <w:top w:val="single" w:sz="4" w:space="0" w:color="auto"/>
            </w:tcBorders>
          </w:tcPr>
          <w:p w14:paraId="39B20EF6" w14:textId="14154B6B" w:rsidR="00291CB8" w:rsidRPr="001A1197" w:rsidRDefault="00D300DB" w:rsidP="00C410BF">
            <w:pPr>
              <w:spacing w:line="288" w:lineRule="auto"/>
              <w:rPr>
                <w:rFonts w:ascii="Times New Roman" w:hAnsi="Times New Roman" w:cs="Times New Roman"/>
                <w:b/>
                <w:bCs/>
              </w:rPr>
            </w:pPr>
            <w:r w:rsidRPr="001A1197">
              <w:rPr>
                <w:rFonts w:ascii="Times New Roman" w:hAnsi="Times New Roman" w:cs="Times New Roman"/>
                <w:b/>
                <w:bCs/>
              </w:rPr>
              <w:t>T</w:t>
            </w:r>
            <w:r w:rsidR="00157C88" w:rsidRPr="001A1197">
              <w:rPr>
                <w:rFonts w:ascii="Times New Roman" w:hAnsi="Times New Roman" w:cs="Times New Roman"/>
                <w:b/>
                <w:bCs/>
              </w:rPr>
              <w:t>otal</w:t>
            </w:r>
          </w:p>
        </w:tc>
        <w:tc>
          <w:tcPr>
            <w:tcW w:w="2291" w:type="dxa"/>
            <w:tcBorders>
              <w:top w:val="single" w:sz="4" w:space="0" w:color="auto"/>
            </w:tcBorders>
            <w:vAlign w:val="center"/>
          </w:tcPr>
          <w:p w14:paraId="7EF4BDD8" w14:textId="31A495AB" w:rsidR="00291CB8" w:rsidRPr="001A1197" w:rsidRDefault="00D300DB" w:rsidP="00C410BF">
            <w:pPr>
              <w:spacing w:line="288" w:lineRule="auto"/>
              <w:jc w:val="center"/>
              <w:rPr>
                <w:rFonts w:ascii="Times New Roman" w:hAnsi="Times New Roman" w:cs="Times New Roman"/>
                <w:b/>
                <w:bCs/>
              </w:rPr>
            </w:pPr>
            <w:r w:rsidRPr="001A1197">
              <w:rPr>
                <w:rFonts w:ascii="Times New Roman" w:hAnsi="Times New Roman" w:cs="Times New Roman"/>
                <w:b/>
                <w:bCs/>
              </w:rPr>
              <w:t>176</w:t>
            </w:r>
          </w:p>
        </w:tc>
        <w:tc>
          <w:tcPr>
            <w:tcW w:w="1843" w:type="dxa"/>
            <w:tcBorders>
              <w:top w:val="single" w:sz="4" w:space="0" w:color="auto"/>
            </w:tcBorders>
            <w:vAlign w:val="center"/>
          </w:tcPr>
          <w:p w14:paraId="0E2401E8" w14:textId="278A4116" w:rsidR="00291CB8" w:rsidRPr="001A1197" w:rsidRDefault="00D300DB" w:rsidP="00C410BF">
            <w:pPr>
              <w:spacing w:line="288" w:lineRule="auto"/>
              <w:jc w:val="center"/>
              <w:rPr>
                <w:rFonts w:ascii="Times New Roman" w:hAnsi="Times New Roman" w:cs="Times New Roman"/>
                <w:b/>
                <w:bCs/>
              </w:rPr>
            </w:pPr>
            <w:r w:rsidRPr="001A1197">
              <w:rPr>
                <w:rFonts w:ascii="Times New Roman" w:hAnsi="Times New Roman" w:cs="Times New Roman"/>
                <w:b/>
                <w:bCs/>
              </w:rPr>
              <w:t>100</w:t>
            </w:r>
          </w:p>
        </w:tc>
      </w:tr>
    </w:tbl>
    <w:p w14:paraId="58F85922" w14:textId="77777777" w:rsidR="001D743D" w:rsidRPr="001A1197" w:rsidRDefault="001D743D" w:rsidP="00C410BF">
      <w:pPr>
        <w:spacing w:before="0" w:after="0"/>
        <w:rPr>
          <w:sz w:val="22"/>
          <w:szCs w:val="22"/>
        </w:rPr>
      </w:pPr>
      <w:r w:rsidRPr="001A1197">
        <w:rPr>
          <w:sz w:val="22"/>
          <w:szCs w:val="22"/>
        </w:rPr>
        <w:t xml:space="preserve"> </w:t>
      </w:r>
    </w:p>
    <w:p w14:paraId="6F7A82E6" w14:textId="694EF42E" w:rsidR="00D70FCC" w:rsidRPr="001A1197" w:rsidRDefault="00D70FCC" w:rsidP="00C410BF">
      <w:pPr>
        <w:spacing w:before="0" w:after="0"/>
        <w:rPr>
          <w:sz w:val="22"/>
          <w:szCs w:val="22"/>
        </w:rPr>
      </w:pPr>
      <w:r w:rsidRPr="001A1197">
        <w:rPr>
          <w:sz w:val="22"/>
          <w:szCs w:val="22"/>
        </w:rPr>
        <w:t>The study population mainly belonged to the &gt;70 age group (50%). The proportion of males was higher than that of females. Yellow-colored fluid had the highest proportion (48.3%). The majority of submitted fluid samples fell within the &gt;250-500 mL range (46%) (Table 1</w:t>
      </w:r>
      <w:r w:rsidR="004209A8">
        <w:rPr>
          <w:sz w:val="22"/>
          <w:szCs w:val="22"/>
        </w:rPr>
        <w:t>).</w:t>
      </w:r>
    </w:p>
    <w:p w14:paraId="5C610414" w14:textId="12089CF8" w:rsidR="00452DC2" w:rsidRPr="001A1197" w:rsidRDefault="00452DC2" w:rsidP="00C410BF">
      <w:pPr>
        <w:spacing w:before="0" w:after="0"/>
        <w:rPr>
          <w:b/>
          <w:i/>
          <w:sz w:val="22"/>
          <w:szCs w:val="22"/>
        </w:rPr>
      </w:pPr>
      <w:r w:rsidRPr="001A1197">
        <w:rPr>
          <w:b/>
          <w:iCs/>
          <w:sz w:val="22"/>
          <w:szCs w:val="22"/>
        </w:rPr>
        <w:t xml:space="preserve">3.2. </w:t>
      </w:r>
      <w:r w:rsidR="00D70FCC" w:rsidRPr="001A1197">
        <w:rPr>
          <w:b/>
          <w:sz w:val="22"/>
          <w:szCs w:val="22"/>
        </w:rPr>
        <w:t>Comparison of cell block and cell smear results in pleural effusion diagnosis</w:t>
      </w:r>
    </w:p>
    <w:p w14:paraId="1A4656A0" w14:textId="58534ECA" w:rsidR="00CF31EC" w:rsidRPr="001A1197" w:rsidRDefault="00157C88" w:rsidP="00C410BF">
      <w:pPr>
        <w:pStyle w:val="NoSpacing"/>
        <w:spacing w:before="0" w:after="0"/>
      </w:pPr>
      <w:r w:rsidRPr="001A1197">
        <w:t>Table 2. Comparison of cytological diagnosis results between the cell block and cell smear techniques on pleural effusion samples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473"/>
        <w:gridCol w:w="1463"/>
        <w:gridCol w:w="1464"/>
        <w:gridCol w:w="1394"/>
        <w:gridCol w:w="1412"/>
      </w:tblGrid>
      <w:tr w:rsidR="001A1197" w:rsidRPr="001A1197" w14:paraId="1B1160D6" w14:textId="77777777" w:rsidTr="00CF31EC">
        <w:trPr>
          <w:jc w:val="center"/>
        </w:trPr>
        <w:tc>
          <w:tcPr>
            <w:tcW w:w="1836" w:type="dxa"/>
            <w:vMerge w:val="restart"/>
            <w:shd w:val="clear" w:color="auto" w:fill="auto"/>
            <w:vAlign w:val="center"/>
          </w:tcPr>
          <w:p w14:paraId="17760767" w14:textId="77777777"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b/>
              </w:rPr>
              <w:t>Cell Smear</w:t>
            </w:r>
          </w:p>
        </w:tc>
        <w:tc>
          <w:tcPr>
            <w:tcW w:w="5794" w:type="dxa"/>
            <w:gridSpan w:val="4"/>
            <w:tcBorders>
              <w:bottom w:val="single" w:sz="4" w:space="0" w:color="auto"/>
            </w:tcBorders>
            <w:shd w:val="clear" w:color="auto" w:fill="auto"/>
            <w:vAlign w:val="center"/>
          </w:tcPr>
          <w:p w14:paraId="2606B4A4" w14:textId="77777777"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rPr>
              <w:t>Cell Block</w:t>
            </w:r>
          </w:p>
        </w:tc>
        <w:tc>
          <w:tcPr>
            <w:tcW w:w="1412" w:type="dxa"/>
            <w:vMerge w:val="restart"/>
            <w:shd w:val="clear" w:color="auto" w:fill="auto"/>
            <w:vAlign w:val="center"/>
          </w:tcPr>
          <w:p w14:paraId="6A4CB039" w14:textId="77777777"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bCs/>
              </w:rPr>
              <w:t>p</w:t>
            </w:r>
          </w:p>
        </w:tc>
      </w:tr>
      <w:tr w:rsidR="001A1197" w:rsidRPr="001A1197" w14:paraId="2C42C79E" w14:textId="77777777" w:rsidTr="00CF31EC">
        <w:trPr>
          <w:jc w:val="center"/>
        </w:trPr>
        <w:tc>
          <w:tcPr>
            <w:tcW w:w="1836" w:type="dxa"/>
            <w:vMerge/>
            <w:tcBorders>
              <w:bottom w:val="single" w:sz="4" w:space="0" w:color="auto"/>
            </w:tcBorders>
            <w:shd w:val="clear" w:color="auto" w:fill="auto"/>
          </w:tcPr>
          <w:p w14:paraId="04BCBB53" w14:textId="77777777" w:rsidR="00CF31EC" w:rsidRPr="001A1197" w:rsidRDefault="00CF31EC" w:rsidP="00C410BF">
            <w:pPr>
              <w:spacing w:line="360" w:lineRule="auto"/>
              <w:rPr>
                <w:rFonts w:ascii="Times New Roman" w:hAnsi="Times New Roman" w:cs="Times New Roman"/>
              </w:rPr>
            </w:pPr>
          </w:p>
        </w:tc>
        <w:tc>
          <w:tcPr>
            <w:tcW w:w="1473" w:type="dxa"/>
            <w:tcBorders>
              <w:top w:val="single" w:sz="4" w:space="0" w:color="auto"/>
              <w:bottom w:val="single" w:sz="4" w:space="0" w:color="auto"/>
            </w:tcBorders>
            <w:shd w:val="clear" w:color="auto" w:fill="auto"/>
            <w:vAlign w:val="center"/>
          </w:tcPr>
          <w:p w14:paraId="3748CAFB" w14:textId="77777777" w:rsidR="00157C88" w:rsidRPr="001A1197" w:rsidRDefault="00157C88" w:rsidP="00C410BF">
            <w:pPr>
              <w:spacing w:line="360" w:lineRule="auto"/>
              <w:jc w:val="center"/>
              <w:rPr>
                <w:rFonts w:ascii="Times New Roman" w:hAnsi="Times New Roman" w:cs="Times New Roman"/>
                <w:bCs/>
              </w:rPr>
            </w:pPr>
            <w:r w:rsidRPr="001A1197">
              <w:rPr>
                <w:rFonts w:ascii="Times New Roman" w:hAnsi="Times New Roman" w:cs="Times New Roman"/>
                <w:bCs/>
              </w:rPr>
              <w:t>Malignant</w:t>
            </w:r>
          </w:p>
          <w:p w14:paraId="43D8A397" w14:textId="7EEBCDF2" w:rsidR="00CF31EC" w:rsidRPr="001A1197" w:rsidRDefault="00CF31EC" w:rsidP="00C410BF">
            <w:pPr>
              <w:spacing w:line="360" w:lineRule="auto"/>
              <w:jc w:val="center"/>
              <w:rPr>
                <w:rFonts w:ascii="Times New Roman" w:hAnsi="Times New Roman" w:cs="Times New Roman"/>
                <w:bCs/>
              </w:rPr>
            </w:pPr>
            <w:r w:rsidRPr="001A1197">
              <w:rPr>
                <w:rFonts w:ascii="Times New Roman" w:hAnsi="Times New Roman" w:cs="Times New Roman"/>
                <w:bCs/>
              </w:rPr>
              <w:t>n (%)</w:t>
            </w:r>
          </w:p>
        </w:tc>
        <w:tc>
          <w:tcPr>
            <w:tcW w:w="1463" w:type="dxa"/>
            <w:tcBorders>
              <w:top w:val="single" w:sz="4" w:space="0" w:color="auto"/>
              <w:bottom w:val="single" w:sz="4" w:space="0" w:color="auto"/>
            </w:tcBorders>
            <w:shd w:val="clear" w:color="auto" w:fill="auto"/>
          </w:tcPr>
          <w:p w14:paraId="73247D31" w14:textId="77777777" w:rsidR="00157C88" w:rsidRPr="001A1197" w:rsidRDefault="00157C88" w:rsidP="00C410BF">
            <w:pPr>
              <w:spacing w:line="360" w:lineRule="auto"/>
              <w:jc w:val="center"/>
              <w:rPr>
                <w:rFonts w:ascii="Times New Roman" w:hAnsi="Times New Roman" w:cs="Times New Roman"/>
                <w:bCs/>
              </w:rPr>
            </w:pPr>
            <w:r w:rsidRPr="001A1197">
              <w:rPr>
                <w:rFonts w:ascii="Times New Roman" w:hAnsi="Times New Roman" w:cs="Times New Roman"/>
                <w:bCs/>
              </w:rPr>
              <w:t>Suspicious</w:t>
            </w:r>
          </w:p>
          <w:p w14:paraId="0B28E746" w14:textId="7E829895" w:rsidR="00CF31EC" w:rsidRPr="001A1197" w:rsidRDefault="00CF31EC" w:rsidP="00C410BF">
            <w:pPr>
              <w:spacing w:line="360" w:lineRule="auto"/>
              <w:jc w:val="center"/>
              <w:rPr>
                <w:rFonts w:ascii="Times New Roman" w:hAnsi="Times New Roman" w:cs="Times New Roman"/>
                <w:bCs/>
              </w:rPr>
            </w:pPr>
            <w:r w:rsidRPr="001A1197">
              <w:rPr>
                <w:rFonts w:ascii="Times New Roman" w:hAnsi="Times New Roman" w:cs="Times New Roman"/>
                <w:bCs/>
              </w:rPr>
              <w:t>n (%)</w:t>
            </w:r>
          </w:p>
        </w:tc>
        <w:tc>
          <w:tcPr>
            <w:tcW w:w="1464" w:type="dxa"/>
            <w:tcBorders>
              <w:top w:val="single" w:sz="4" w:space="0" w:color="auto"/>
              <w:bottom w:val="single" w:sz="4" w:space="0" w:color="auto"/>
            </w:tcBorders>
            <w:shd w:val="clear" w:color="auto" w:fill="auto"/>
          </w:tcPr>
          <w:p w14:paraId="4EB711C0" w14:textId="77777777" w:rsidR="00157C88" w:rsidRPr="001A1197" w:rsidRDefault="00157C88" w:rsidP="00C410BF">
            <w:pPr>
              <w:spacing w:line="360" w:lineRule="auto"/>
              <w:jc w:val="center"/>
              <w:rPr>
                <w:rFonts w:ascii="Times New Roman" w:hAnsi="Times New Roman" w:cs="Times New Roman"/>
                <w:bCs/>
              </w:rPr>
            </w:pPr>
            <w:r w:rsidRPr="001A1197">
              <w:rPr>
                <w:rFonts w:ascii="Times New Roman" w:hAnsi="Times New Roman" w:cs="Times New Roman"/>
                <w:bCs/>
              </w:rPr>
              <w:t>Benign</w:t>
            </w:r>
          </w:p>
          <w:p w14:paraId="337E1848" w14:textId="5252D4B5" w:rsidR="00CF31EC" w:rsidRPr="001A1197" w:rsidRDefault="00CF31EC" w:rsidP="00C410BF">
            <w:pPr>
              <w:spacing w:line="360" w:lineRule="auto"/>
              <w:jc w:val="center"/>
              <w:rPr>
                <w:rFonts w:ascii="Times New Roman" w:hAnsi="Times New Roman" w:cs="Times New Roman"/>
                <w:bCs/>
              </w:rPr>
            </w:pPr>
            <w:r w:rsidRPr="001A1197">
              <w:rPr>
                <w:rFonts w:ascii="Times New Roman" w:hAnsi="Times New Roman" w:cs="Times New Roman"/>
                <w:bCs/>
              </w:rPr>
              <w:t>n (%)</w:t>
            </w:r>
          </w:p>
        </w:tc>
        <w:tc>
          <w:tcPr>
            <w:tcW w:w="1394" w:type="dxa"/>
            <w:tcBorders>
              <w:top w:val="single" w:sz="4" w:space="0" w:color="auto"/>
              <w:bottom w:val="single" w:sz="4" w:space="0" w:color="auto"/>
            </w:tcBorders>
            <w:shd w:val="clear" w:color="auto" w:fill="auto"/>
          </w:tcPr>
          <w:p w14:paraId="07764752" w14:textId="0B2C6C89" w:rsidR="00CF31EC" w:rsidRPr="001A1197" w:rsidRDefault="00CF31EC" w:rsidP="00C410BF">
            <w:pPr>
              <w:spacing w:line="360" w:lineRule="auto"/>
              <w:jc w:val="center"/>
              <w:rPr>
                <w:rFonts w:ascii="Times New Roman" w:hAnsi="Times New Roman" w:cs="Times New Roman"/>
                <w:bCs/>
              </w:rPr>
            </w:pPr>
            <w:r w:rsidRPr="001A1197">
              <w:rPr>
                <w:rFonts w:ascii="Times New Roman" w:hAnsi="Times New Roman" w:cs="Times New Roman"/>
                <w:bCs/>
              </w:rPr>
              <w:t>T</w:t>
            </w:r>
            <w:r w:rsidR="00157C88" w:rsidRPr="001A1197">
              <w:rPr>
                <w:rFonts w:ascii="Times New Roman" w:hAnsi="Times New Roman" w:cs="Times New Roman"/>
                <w:bCs/>
              </w:rPr>
              <w:t>otal</w:t>
            </w:r>
          </w:p>
          <w:p w14:paraId="5F9ABB00" w14:textId="77777777" w:rsidR="00CF31EC" w:rsidRPr="001A1197" w:rsidRDefault="00CF31EC" w:rsidP="00C410BF">
            <w:pPr>
              <w:spacing w:line="360" w:lineRule="auto"/>
              <w:jc w:val="center"/>
              <w:rPr>
                <w:rFonts w:ascii="Times New Roman" w:hAnsi="Times New Roman" w:cs="Times New Roman"/>
                <w:bCs/>
              </w:rPr>
            </w:pPr>
            <w:r w:rsidRPr="001A1197">
              <w:rPr>
                <w:rFonts w:ascii="Times New Roman" w:hAnsi="Times New Roman" w:cs="Times New Roman"/>
                <w:bCs/>
              </w:rPr>
              <w:t>n (%)</w:t>
            </w:r>
          </w:p>
        </w:tc>
        <w:tc>
          <w:tcPr>
            <w:tcW w:w="1412" w:type="dxa"/>
            <w:vMerge/>
            <w:shd w:val="clear" w:color="auto" w:fill="auto"/>
            <w:vAlign w:val="center"/>
          </w:tcPr>
          <w:p w14:paraId="4E04E144" w14:textId="77777777" w:rsidR="00CF31EC" w:rsidRPr="001A1197" w:rsidRDefault="00CF31EC" w:rsidP="00C410BF">
            <w:pPr>
              <w:spacing w:line="360" w:lineRule="auto"/>
              <w:jc w:val="center"/>
              <w:rPr>
                <w:rFonts w:ascii="Times New Roman" w:hAnsi="Times New Roman" w:cs="Times New Roman"/>
                <w:bCs/>
              </w:rPr>
            </w:pPr>
          </w:p>
        </w:tc>
      </w:tr>
      <w:tr w:rsidR="001A1197" w:rsidRPr="001A1197" w14:paraId="6A8E1DBB" w14:textId="77777777" w:rsidTr="00CF31EC">
        <w:trPr>
          <w:jc w:val="center"/>
        </w:trPr>
        <w:tc>
          <w:tcPr>
            <w:tcW w:w="1836" w:type="dxa"/>
            <w:tcBorders>
              <w:top w:val="single" w:sz="4" w:space="0" w:color="auto"/>
            </w:tcBorders>
            <w:shd w:val="clear" w:color="auto" w:fill="auto"/>
          </w:tcPr>
          <w:p w14:paraId="18F0D10B" w14:textId="2E7AF649" w:rsidR="00CF31EC" w:rsidRPr="001A1197" w:rsidRDefault="00157C88" w:rsidP="00C410BF">
            <w:pPr>
              <w:spacing w:line="360" w:lineRule="auto"/>
              <w:rPr>
                <w:rFonts w:ascii="Times New Roman" w:hAnsi="Times New Roman" w:cs="Times New Roman"/>
              </w:rPr>
            </w:pPr>
            <w:r w:rsidRPr="001A1197">
              <w:rPr>
                <w:rFonts w:ascii="Times New Roman" w:hAnsi="Times New Roman" w:cs="Times New Roman"/>
              </w:rPr>
              <w:t>Malignant</w:t>
            </w:r>
          </w:p>
        </w:tc>
        <w:tc>
          <w:tcPr>
            <w:tcW w:w="1473" w:type="dxa"/>
            <w:tcBorders>
              <w:top w:val="single" w:sz="4" w:space="0" w:color="auto"/>
            </w:tcBorders>
            <w:shd w:val="clear" w:color="auto" w:fill="auto"/>
            <w:vAlign w:val="center"/>
          </w:tcPr>
          <w:p w14:paraId="699041E6" w14:textId="79F49186"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13 (7.4)</w:t>
            </w:r>
          </w:p>
        </w:tc>
        <w:tc>
          <w:tcPr>
            <w:tcW w:w="1463" w:type="dxa"/>
            <w:tcBorders>
              <w:top w:val="single" w:sz="4" w:space="0" w:color="auto"/>
            </w:tcBorders>
            <w:shd w:val="clear" w:color="auto" w:fill="auto"/>
          </w:tcPr>
          <w:p w14:paraId="5E3D0984" w14:textId="77777777"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0 (0)</w:t>
            </w:r>
          </w:p>
        </w:tc>
        <w:tc>
          <w:tcPr>
            <w:tcW w:w="1464" w:type="dxa"/>
            <w:tcBorders>
              <w:top w:val="single" w:sz="4" w:space="0" w:color="auto"/>
            </w:tcBorders>
            <w:shd w:val="clear" w:color="auto" w:fill="auto"/>
          </w:tcPr>
          <w:p w14:paraId="66A2FB8C" w14:textId="77777777"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0 (0)</w:t>
            </w:r>
          </w:p>
        </w:tc>
        <w:tc>
          <w:tcPr>
            <w:tcW w:w="1394" w:type="dxa"/>
            <w:tcBorders>
              <w:top w:val="single" w:sz="4" w:space="0" w:color="auto"/>
            </w:tcBorders>
            <w:shd w:val="clear" w:color="auto" w:fill="auto"/>
          </w:tcPr>
          <w:p w14:paraId="15990799" w14:textId="3BFF4B9F"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13 (7.4)</w:t>
            </w:r>
          </w:p>
        </w:tc>
        <w:tc>
          <w:tcPr>
            <w:tcW w:w="1412" w:type="dxa"/>
            <w:vMerge w:val="restart"/>
            <w:shd w:val="clear" w:color="auto" w:fill="auto"/>
            <w:vAlign w:val="center"/>
          </w:tcPr>
          <w:p w14:paraId="2AC534FA" w14:textId="73042C7A"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bCs/>
              </w:rPr>
              <w:t>&lt;0.001**</w:t>
            </w:r>
          </w:p>
        </w:tc>
      </w:tr>
      <w:tr w:rsidR="001A1197" w:rsidRPr="001A1197" w14:paraId="269DF3CD" w14:textId="77777777" w:rsidTr="00CF31EC">
        <w:trPr>
          <w:jc w:val="center"/>
        </w:trPr>
        <w:tc>
          <w:tcPr>
            <w:tcW w:w="1836" w:type="dxa"/>
            <w:shd w:val="clear" w:color="auto" w:fill="auto"/>
          </w:tcPr>
          <w:p w14:paraId="691770A3" w14:textId="7CB1CF89" w:rsidR="00CF31EC" w:rsidRPr="001A1197" w:rsidRDefault="00157C88" w:rsidP="00C410BF">
            <w:pPr>
              <w:spacing w:line="360" w:lineRule="auto"/>
              <w:rPr>
                <w:rFonts w:ascii="Times New Roman" w:hAnsi="Times New Roman" w:cs="Times New Roman"/>
              </w:rPr>
            </w:pPr>
            <w:r w:rsidRPr="001A1197">
              <w:rPr>
                <w:rFonts w:ascii="Times New Roman" w:hAnsi="Times New Roman" w:cs="Times New Roman"/>
              </w:rPr>
              <w:t>Suspicious</w:t>
            </w:r>
          </w:p>
        </w:tc>
        <w:tc>
          <w:tcPr>
            <w:tcW w:w="1473" w:type="dxa"/>
            <w:shd w:val="clear" w:color="auto" w:fill="auto"/>
            <w:vAlign w:val="center"/>
          </w:tcPr>
          <w:p w14:paraId="43491806" w14:textId="5B5DEDF4"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4 (2.3)</w:t>
            </w:r>
          </w:p>
        </w:tc>
        <w:tc>
          <w:tcPr>
            <w:tcW w:w="1463" w:type="dxa"/>
            <w:shd w:val="clear" w:color="auto" w:fill="auto"/>
          </w:tcPr>
          <w:p w14:paraId="662B6CDA" w14:textId="77777777"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0 (0)</w:t>
            </w:r>
          </w:p>
        </w:tc>
        <w:tc>
          <w:tcPr>
            <w:tcW w:w="1464" w:type="dxa"/>
            <w:shd w:val="clear" w:color="auto" w:fill="auto"/>
          </w:tcPr>
          <w:p w14:paraId="2AFBDCC2" w14:textId="77777777"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0 (0)</w:t>
            </w:r>
          </w:p>
        </w:tc>
        <w:tc>
          <w:tcPr>
            <w:tcW w:w="1394" w:type="dxa"/>
            <w:shd w:val="clear" w:color="auto" w:fill="auto"/>
          </w:tcPr>
          <w:p w14:paraId="1B50D818" w14:textId="7CD990C7"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4 (2.3)</w:t>
            </w:r>
          </w:p>
        </w:tc>
        <w:tc>
          <w:tcPr>
            <w:tcW w:w="1412" w:type="dxa"/>
            <w:vMerge/>
            <w:shd w:val="clear" w:color="auto" w:fill="auto"/>
            <w:vAlign w:val="center"/>
          </w:tcPr>
          <w:p w14:paraId="077ECD7D" w14:textId="77777777" w:rsidR="00CF31EC" w:rsidRPr="001A1197" w:rsidRDefault="00CF31EC" w:rsidP="00C410BF">
            <w:pPr>
              <w:spacing w:line="360" w:lineRule="auto"/>
              <w:jc w:val="center"/>
              <w:rPr>
                <w:rFonts w:ascii="Times New Roman" w:hAnsi="Times New Roman" w:cs="Times New Roman"/>
              </w:rPr>
            </w:pPr>
          </w:p>
        </w:tc>
      </w:tr>
      <w:tr w:rsidR="001A1197" w:rsidRPr="001A1197" w14:paraId="2AAFBDCE" w14:textId="77777777" w:rsidTr="00CF31EC">
        <w:trPr>
          <w:jc w:val="center"/>
        </w:trPr>
        <w:tc>
          <w:tcPr>
            <w:tcW w:w="1836" w:type="dxa"/>
            <w:tcBorders>
              <w:bottom w:val="single" w:sz="4" w:space="0" w:color="auto"/>
            </w:tcBorders>
            <w:shd w:val="clear" w:color="auto" w:fill="auto"/>
          </w:tcPr>
          <w:p w14:paraId="149ECC94" w14:textId="11CCAFCD" w:rsidR="00CF31EC" w:rsidRPr="001A1197" w:rsidRDefault="00157C88" w:rsidP="00C410BF">
            <w:pPr>
              <w:spacing w:line="360" w:lineRule="auto"/>
              <w:rPr>
                <w:rFonts w:ascii="Times New Roman" w:hAnsi="Times New Roman" w:cs="Times New Roman"/>
              </w:rPr>
            </w:pPr>
            <w:r w:rsidRPr="001A1197">
              <w:rPr>
                <w:rFonts w:ascii="Times New Roman" w:hAnsi="Times New Roman" w:cs="Times New Roman"/>
              </w:rPr>
              <w:lastRenderedPageBreak/>
              <w:t>Benign</w:t>
            </w:r>
          </w:p>
        </w:tc>
        <w:tc>
          <w:tcPr>
            <w:tcW w:w="1473" w:type="dxa"/>
            <w:tcBorders>
              <w:bottom w:val="single" w:sz="4" w:space="0" w:color="auto"/>
            </w:tcBorders>
            <w:shd w:val="clear" w:color="auto" w:fill="auto"/>
            <w:vAlign w:val="center"/>
          </w:tcPr>
          <w:p w14:paraId="2B1AF9B9" w14:textId="3D60CAFF"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22 (12.4)</w:t>
            </w:r>
          </w:p>
        </w:tc>
        <w:tc>
          <w:tcPr>
            <w:tcW w:w="1463" w:type="dxa"/>
            <w:tcBorders>
              <w:bottom w:val="single" w:sz="4" w:space="0" w:color="auto"/>
            </w:tcBorders>
            <w:shd w:val="clear" w:color="auto" w:fill="auto"/>
          </w:tcPr>
          <w:p w14:paraId="44EAEB46" w14:textId="4DA7A6EF"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10 (5.7)</w:t>
            </w:r>
          </w:p>
        </w:tc>
        <w:tc>
          <w:tcPr>
            <w:tcW w:w="1464" w:type="dxa"/>
            <w:tcBorders>
              <w:bottom w:val="single" w:sz="4" w:space="0" w:color="auto"/>
            </w:tcBorders>
            <w:shd w:val="clear" w:color="auto" w:fill="auto"/>
          </w:tcPr>
          <w:p w14:paraId="0350B7B2" w14:textId="113F358B"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127 (72.2)</w:t>
            </w:r>
          </w:p>
        </w:tc>
        <w:tc>
          <w:tcPr>
            <w:tcW w:w="1394" w:type="dxa"/>
            <w:tcBorders>
              <w:bottom w:val="single" w:sz="4" w:space="0" w:color="auto"/>
            </w:tcBorders>
            <w:shd w:val="clear" w:color="auto" w:fill="auto"/>
          </w:tcPr>
          <w:p w14:paraId="4AA3E448" w14:textId="6F5708BD" w:rsidR="00CF31EC" w:rsidRPr="001A1197" w:rsidRDefault="00CF31EC" w:rsidP="00C410BF">
            <w:pPr>
              <w:spacing w:line="360" w:lineRule="auto"/>
              <w:jc w:val="center"/>
              <w:rPr>
                <w:rFonts w:ascii="Times New Roman" w:hAnsi="Times New Roman" w:cs="Times New Roman"/>
              </w:rPr>
            </w:pPr>
            <w:r w:rsidRPr="001A1197">
              <w:rPr>
                <w:rFonts w:ascii="Times New Roman" w:hAnsi="Times New Roman" w:cs="Times New Roman"/>
              </w:rPr>
              <w:t>159 (90.3)</w:t>
            </w:r>
          </w:p>
        </w:tc>
        <w:tc>
          <w:tcPr>
            <w:tcW w:w="1412" w:type="dxa"/>
            <w:vMerge/>
            <w:shd w:val="clear" w:color="auto" w:fill="auto"/>
            <w:vAlign w:val="center"/>
          </w:tcPr>
          <w:p w14:paraId="0C7975FA" w14:textId="77777777" w:rsidR="00CF31EC" w:rsidRPr="001A1197" w:rsidRDefault="00CF31EC" w:rsidP="00C410BF">
            <w:pPr>
              <w:spacing w:line="360" w:lineRule="auto"/>
              <w:jc w:val="center"/>
              <w:rPr>
                <w:rFonts w:ascii="Times New Roman" w:hAnsi="Times New Roman" w:cs="Times New Roman"/>
                <w:b/>
                <w:bCs/>
              </w:rPr>
            </w:pPr>
          </w:p>
        </w:tc>
      </w:tr>
      <w:tr w:rsidR="001A1197" w:rsidRPr="001A1197" w14:paraId="4E5586A5" w14:textId="77777777" w:rsidTr="00CF31EC">
        <w:trPr>
          <w:jc w:val="center"/>
        </w:trPr>
        <w:tc>
          <w:tcPr>
            <w:tcW w:w="1836" w:type="dxa"/>
            <w:tcBorders>
              <w:top w:val="single" w:sz="4" w:space="0" w:color="auto"/>
            </w:tcBorders>
            <w:shd w:val="clear" w:color="auto" w:fill="auto"/>
          </w:tcPr>
          <w:p w14:paraId="33115457" w14:textId="4268A621" w:rsidR="00CF31EC" w:rsidRPr="001A1197" w:rsidRDefault="00CF31EC" w:rsidP="00C410BF">
            <w:pPr>
              <w:spacing w:line="360" w:lineRule="auto"/>
              <w:rPr>
                <w:rFonts w:ascii="Times New Roman" w:hAnsi="Times New Roman" w:cs="Times New Roman"/>
                <w:b/>
                <w:bCs/>
              </w:rPr>
            </w:pPr>
            <w:r w:rsidRPr="001A1197">
              <w:rPr>
                <w:rFonts w:ascii="Times New Roman" w:hAnsi="Times New Roman" w:cs="Times New Roman"/>
                <w:b/>
                <w:bCs/>
              </w:rPr>
              <w:t>T</w:t>
            </w:r>
            <w:r w:rsidR="00157C88" w:rsidRPr="001A1197">
              <w:rPr>
                <w:rFonts w:ascii="Times New Roman" w:hAnsi="Times New Roman" w:cs="Times New Roman"/>
                <w:b/>
                <w:bCs/>
              </w:rPr>
              <w:t>otal</w:t>
            </w:r>
          </w:p>
        </w:tc>
        <w:tc>
          <w:tcPr>
            <w:tcW w:w="1473" w:type="dxa"/>
            <w:tcBorders>
              <w:top w:val="single" w:sz="4" w:space="0" w:color="auto"/>
            </w:tcBorders>
            <w:shd w:val="clear" w:color="auto" w:fill="auto"/>
            <w:vAlign w:val="center"/>
          </w:tcPr>
          <w:p w14:paraId="3ADD528A" w14:textId="6DFE5A8D"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bCs/>
              </w:rPr>
              <w:t>39 (22.1)</w:t>
            </w:r>
          </w:p>
        </w:tc>
        <w:tc>
          <w:tcPr>
            <w:tcW w:w="1463" w:type="dxa"/>
            <w:tcBorders>
              <w:top w:val="single" w:sz="4" w:space="0" w:color="auto"/>
            </w:tcBorders>
            <w:shd w:val="clear" w:color="auto" w:fill="auto"/>
          </w:tcPr>
          <w:p w14:paraId="57B4562B" w14:textId="4EF16FE7"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bCs/>
              </w:rPr>
              <w:t>10 (5.7)</w:t>
            </w:r>
          </w:p>
        </w:tc>
        <w:tc>
          <w:tcPr>
            <w:tcW w:w="1464" w:type="dxa"/>
            <w:tcBorders>
              <w:top w:val="single" w:sz="4" w:space="0" w:color="auto"/>
            </w:tcBorders>
            <w:shd w:val="clear" w:color="auto" w:fill="auto"/>
          </w:tcPr>
          <w:p w14:paraId="3C5A87E3" w14:textId="2EDB7943"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bCs/>
              </w:rPr>
              <w:t>127 (72.2)</w:t>
            </w:r>
          </w:p>
        </w:tc>
        <w:tc>
          <w:tcPr>
            <w:tcW w:w="1394" w:type="dxa"/>
            <w:tcBorders>
              <w:top w:val="single" w:sz="4" w:space="0" w:color="auto"/>
            </w:tcBorders>
            <w:shd w:val="clear" w:color="auto" w:fill="auto"/>
          </w:tcPr>
          <w:p w14:paraId="781BE840" w14:textId="77777777" w:rsidR="00CF31EC" w:rsidRPr="001A1197" w:rsidRDefault="00CF31EC" w:rsidP="00C410BF">
            <w:pPr>
              <w:spacing w:line="360" w:lineRule="auto"/>
              <w:jc w:val="center"/>
              <w:rPr>
                <w:rFonts w:ascii="Times New Roman" w:hAnsi="Times New Roman" w:cs="Times New Roman"/>
                <w:b/>
                <w:bCs/>
              </w:rPr>
            </w:pPr>
            <w:r w:rsidRPr="001A1197">
              <w:rPr>
                <w:rFonts w:ascii="Times New Roman" w:hAnsi="Times New Roman" w:cs="Times New Roman"/>
                <w:b/>
                <w:bCs/>
              </w:rPr>
              <w:t>176 (100)</w:t>
            </w:r>
          </w:p>
        </w:tc>
        <w:tc>
          <w:tcPr>
            <w:tcW w:w="1412" w:type="dxa"/>
            <w:vMerge/>
            <w:shd w:val="clear" w:color="auto" w:fill="auto"/>
            <w:vAlign w:val="center"/>
          </w:tcPr>
          <w:p w14:paraId="61A9E8D1" w14:textId="77777777" w:rsidR="00CF31EC" w:rsidRPr="001A1197" w:rsidRDefault="00CF31EC" w:rsidP="00C410BF">
            <w:pPr>
              <w:spacing w:line="360" w:lineRule="auto"/>
              <w:jc w:val="center"/>
              <w:rPr>
                <w:rFonts w:ascii="Times New Roman" w:hAnsi="Times New Roman" w:cs="Times New Roman"/>
              </w:rPr>
            </w:pPr>
          </w:p>
        </w:tc>
      </w:tr>
    </w:tbl>
    <w:p w14:paraId="421B5749" w14:textId="77777777" w:rsidR="00CF31EC" w:rsidRPr="001A1197" w:rsidRDefault="00CF31EC" w:rsidP="00C410BF">
      <w:pPr>
        <w:pStyle w:val="b"/>
        <w:spacing w:before="0" w:after="0"/>
        <w:ind w:firstLine="567"/>
        <w:jc w:val="right"/>
        <w:rPr>
          <w:b w:val="0"/>
          <w:bCs/>
          <w:i/>
          <w:iCs/>
          <w:sz w:val="22"/>
          <w:szCs w:val="22"/>
        </w:rPr>
      </w:pPr>
      <w:r w:rsidRPr="001A1197">
        <w:rPr>
          <w:b w:val="0"/>
          <w:i/>
          <w:iCs/>
          <w:sz w:val="22"/>
          <w:szCs w:val="22"/>
        </w:rPr>
        <w:t>**Fi</w:t>
      </w:r>
      <w:r w:rsidRPr="001A1197">
        <w:rPr>
          <w:b w:val="0"/>
          <w:bCs/>
          <w:i/>
          <w:iCs/>
          <w:sz w:val="22"/>
          <w:szCs w:val="22"/>
        </w:rPr>
        <w:t>sher</w:t>
      </w:r>
      <w:r w:rsidRPr="001A1197">
        <w:rPr>
          <w:b w:val="0"/>
          <w:bCs/>
          <w:i/>
          <w:iCs/>
          <w:sz w:val="22"/>
          <w:szCs w:val="22"/>
          <w:lang w:val="vi-VN"/>
        </w:rPr>
        <w:t>’s</w:t>
      </w:r>
      <w:r w:rsidRPr="001A1197">
        <w:rPr>
          <w:b w:val="0"/>
          <w:bCs/>
          <w:i/>
          <w:iCs/>
          <w:sz w:val="22"/>
          <w:szCs w:val="22"/>
        </w:rPr>
        <w:t>-exact test</w:t>
      </w:r>
    </w:p>
    <w:p w14:paraId="0968B172" w14:textId="77777777" w:rsidR="00E440AB" w:rsidRPr="001A1197" w:rsidRDefault="00E440AB" w:rsidP="00C410BF">
      <w:pPr>
        <w:spacing w:before="0" w:after="0"/>
        <w:rPr>
          <w:sz w:val="22"/>
          <w:szCs w:val="22"/>
        </w:rPr>
      </w:pPr>
      <w:bookmarkStart w:id="15" w:name="_Toc180570979"/>
      <w:r w:rsidRPr="001A1197">
        <w:rPr>
          <w:sz w:val="22"/>
          <w:szCs w:val="22"/>
        </w:rPr>
        <w:t>According to Table 2, the results of the cell block test on pleural effusion samples showed that 39 samples were malignant, accounting for 22.1%; 10 samples were suspicious for malignancy, accounting for 5.7%; and 127 samples were benign, accounting for 72.2%. Benign samples had the highest proportion.</w:t>
      </w:r>
    </w:p>
    <w:p w14:paraId="1D9C1CFC" w14:textId="77777777" w:rsidR="00E440AB" w:rsidRPr="001A1197" w:rsidRDefault="00E440AB" w:rsidP="00C410BF">
      <w:pPr>
        <w:spacing w:before="0" w:after="0"/>
        <w:rPr>
          <w:sz w:val="22"/>
          <w:szCs w:val="22"/>
        </w:rPr>
      </w:pPr>
      <w:r w:rsidRPr="001A1197">
        <w:rPr>
          <w:sz w:val="22"/>
          <w:szCs w:val="22"/>
        </w:rPr>
        <w:t>The results of the cell smear test showed that 13 samples were malignant, accounting for 7.4%; 4 samples were suspicious for malignancy, accounting for 2.3%; and 159 samples were benign, accounting for 90.3%. Benign samples had the highest proportion.</w:t>
      </w:r>
    </w:p>
    <w:p w14:paraId="618109DD" w14:textId="77777777" w:rsidR="00E440AB" w:rsidRPr="001A1197" w:rsidRDefault="00E440AB" w:rsidP="00C410BF">
      <w:pPr>
        <w:spacing w:before="0" w:after="0"/>
        <w:rPr>
          <w:sz w:val="22"/>
          <w:szCs w:val="22"/>
        </w:rPr>
      </w:pPr>
      <w:r w:rsidRPr="001A1197">
        <w:rPr>
          <w:sz w:val="22"/>
          <w:szCs w:val="22"/>
        </w:rPr>
        <w:t>A comparison of the cell block and cell smear test results on 176 pleural effusion samples showed that 140 cases had the same diagnostic results on both methods (accounting for 79.6%). Among them, 11 cases were malignant, 127 cases were benign, and there were no suspicious cases (with corresponding rates of 7.4%, 72.2%, and 0%, respectively).</w:t>
      </w:r>
    </w:p>
    <w:p w14:paraId="5810B4B5" w14:textId="77777777" w:rsidR="00E440AB" w:rsidRPr="001A1197" w:rsidRDefault="00E440AB" w:rsidP="00C410BF">
      <w:pPr>
        <w:spacing w:before="0" w:after="0"/>
        <w:rPr>
          <w:sz w:val="22"/>
          <w:szCs w:val="22"/>
        </w:rPr>
      </w:pPr>
      <w:r w:rsidRPr="001A1197">
        <w:rPr>
          <w:sz w:val="22"/>
          <w:szCs w:val="22"/>
        </w:rPr>
        <w:t>There were 36 cases with differing results between cell smear and cell block (accounting for 20.4%). Among them, 4 suspicious cases and 22 benign cases on cell smear were diagnosed as malignant on cell block (accounting for 2.3% and 12.4%, respectively). Additionally, 10 benign cases on cell smear were diagnosed as suspicious on cell block (accounting for 5.7%).</w:t>
      </w:r>
    </w:p>
    <w:p w14:paraId="0F1F96E9" w14:textId="77777777" w:rsidR="00E440AB" w:rsidRPr="001A1197" w:rsidRDefault="00E440AB" w:rsidP="00C410BF">
      <w:pPr>
        <w:spacing w:before="0" w:after="0"/>
        <w:rPr>
          <w:bCs/>
          <w:i/>
          <w:sz w:val="22"/>
          <w:szCs w:val="22"/>
        </w:rPr>
      </w:pPr>
      <w:r w:rsidRPr="001A1197">
        <w:rPr>
          <w:sz w:val="22"/>
          <w:szCs w:val="22"/>
        </w:rPr>
        <w:t>Cell block identified more malignant and suspicious cases than cell smear. The results were statistically significant with p&lt;0.05.</w:t>
      </w:r>
    </w:p>
    <w:p w14:paraId="08A168C4" w14:textId="0E348002" w:rsidR="00870DBC" w:rsidRPr="001A1197" w:rsidRDefault="00452DC2" w:rsidP="00C410BF">
      <w:pPr>
        <w:spacing w:before="0" w:after="0"/>
        <w:rPr>
          <w:b/>
          <w:bCs/>
          <w:i/>
          <w:iCs/>
          <w:sz w:val="22"/>
          <w:szCs w:val="22"/>
        </w:rPr>
      </w:pPr>
      <w:r w:rsidRPr="001A1197">
        <w:rPr>
          <w:b/>
          <w:iCs/>
          <w:sz w:val="22"/>
          <w:szCs w:val="22"/>
        </w:rPr>
        <w:t xml:space="preserve">3.3. </w:t>
      </w:r>
      <w:r w:rsidR="00D70FCC" w:rsidRPr="001A1197">
        <w:rPr>
          <w:b/>
          <w:iCs/>
          <w:sz w:val="22"/>
          <w:szCs w:val="22"/>
        </w:rPr>
        <w:t>Factors associated with cell block cytological diagnosis</w:t>
      </w:r>
    </w:p>
    <w:bookmarkEnd w:id="15"/>
    <w:p w14:paraId="49075FCF" w14:textId="7870CC27" w:rsidR="00CF31EC" w:rsidRPr="001A1197" w:rsidRDefault="00157C88" w:rsidP="00C410BF">
      <w:pPr>
        <w:pStyle w:val="NoSpacing"/>
        <w:spacing w:before="0" w:after="0"/>
      </w:pPr>
      <w:r w:rsidRPr="001A1197">
        <w:t>Table 3. Factors associated with cytological diagnosis results using the cell block technique for pleural effusion (n=176)</w:t>
      </w:r>
    </w:p>
    <w:tbl>
      <w:tblPr>
        <w:tblStyle w:val="TableGrid"/>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812"/>
        <w:gridCol w:w="1812"/>
        <w:gridCol w:w="1813"/>
        <w:gridCol w:w="1393"/>
      </w:tblGrid>
      <w:tr w:rsidR="001A1197" w:rsidRPr="001A1197" w14:paraId="48094395" w14:textId="77777777" w:rsidTr="00452DC2">
        <w:tc>
          <w:tcPr>
            <w:tcW w:w="2263" w:type="dxa"/>
            <w:vMerge w:val="restart"/>
            <w:shd w:val="clear" w:color="auto" w:fill="auto"/>
            <w:vAlign w:val="center"/>
          </w:tcPr>
          <w:p w14:paraId="3AF36722" w14:textId="62D13E66" w:rsidR="00CF31EC" w:rsidRPr="001A1197" w:rsidRDefault="00157C88" w:rsidP="00C410BF">
            <w:pPr>
              <w:spacing w:line="288" w:lineRule="auto"/>
              <w:jc w:val="center"/>
              <w:rPr>
                <w:rFonts w:ascii="Times New Roman" w:hAnsi="Times New Roman" w:cs="Times New Roman"/>
                <w:b/>
                <w:bCs/>
              </w:rPr>
            </w:pPr>
            <w:r w:rsidRPr="001A1197">
              <w:rPr>
                <w:rFonts w:ascii="Times New Roman" w:hAnsi="Times New Roman" w:cs="Times New Roman"/>
                <w:b/>
                <w:bCs/>
              </w:rPr>
              <w:t>Related Factors</w:t>
            </w:r>
          </w:p>
        </w:tc>
        <w:tc>
          <w:tcPr>
            <w:tcW w:w="5437" w:type="dxa"/>
            <w:gridSpan w:val="3"/>
            <w:tcBorders>
              <w:bottom w:val="single" w:sz="4" w:space="0" w:color="auto"/>
            </w:tcBorders>
            <w:shd w:val="clear" w:color="auto" w:fill="auto"/>
            <w:vAlign w:val="center"/>
          </w:tcPr>
          <w:p w14:paraId="26C86283" w14:textId="6D3468DD" w:rsidR="00CF31EC" w:rsidRPr="001A1197" w:rsidRDefault="00157C88" w:rsidP="00C410BF">
            <w:pPr>
              <w:spacing w:line="288" w:lineRule="auto"/>
              <w:jc w:val="center"/>
              <w:rPr>
                <w:rFonts w:ascii="Times New Roman" w:hAnsi="Times New Roman" w:cs="Times New Roman"/>
                <w:b/>
                <w:bCs/>
              </w:rPr>
            </w:pPr>
            <w:r w:rsidRPr="001A1197">
              <w:rPr>
                <w:rFonts w:ascii="Times New Roman" w:hAnsi="Times New Roman" w:cs="Times New Roman"/>
                <w:b/>
                <w:bCs/>
              </w:rPr>
              <w:t>Diagnosis Results</w:t>
            </w:r>
          </w:p>
        </w:tc>
        <w:tc>
          <w:tcPr>
            <w:tcW w:w="1393" w:type="dxa"/>
            <w:vMerge w:val="restart"/>
            <w:shd w:val="clear" w:color="auto" w:fill="auto"/>
            <w:vAlign w:val="center"/>
          </w:tcPr>
          <w:p w14:paraId="7078094A" w14:textId="77777777" w:rsidR="00CF31EC" w:rsidRPr="001A1197" w:rsidRDefault="00CF31EC" w:rsidP="00C410BF">
            <w:pPr>
              <w:spacing w:line="288" w:lineRule="auto"/>
              <w:jc w:val="center"/>
              <w:rPr>
                <w:rFonts w:ascii="Times New Roman" w:hAnsi="Times New Roman" w:cs="Times New Roman"/>
                <w:b/>
                <w:bCs/>
              </w:rPr>
            </w:pPr>
            <w:r w:rsidRPr="001A1197">
              <w:rPr>
                <w:rFonts w:ascii="Times New Roman" w:hAnsi="Times New Roman" w:cs="Times New Roman"/>
                <w:b/>
                <w:bCs/>
              </w:rPr>
              <w:t>p</w:t>
            </w:r>
          </w:p>
        </w:tc>
      </w:tr>
      <w:tr w:rsidR="001A1197" w:rsidRPr="001A1197" w14:paraId="07100BD5" w14:textId="77777777" w:rsidTr="00452DC2">
        <w:tc>
          <w:tcPr>
            <w:tcW w:w="2263" w:type="dxa"/>
            <w:vMerge/>
            <w:tcBorders>
              <w:bottom w:val="single" w:sz="4" w:space="0" w:color="auto"/>
            </w:tcBorders>
            <w:shd w:val="clear" w:color="auto" w:fill="auto"/>
          </w:tcPr>
          <w:p w14:paraId="267293F5" w14:textId="77777777" w:rsidR="00CF31EC" w:rsidRPr="001A1197" w:rsidRDefault="00CF31EC" w:rsidP="00C410BF">
            <w:pPr>
              <w:spacing w:line="288" w:lineRule="auto"/>
              <w:rPr>
                <w:rFonts w:ascii="Times New Roman" w:hAnsi="Times New Roman" w:cs="Times New Roman"/>
              </w:rPr>
            </w:pPr>
          </w:p>
        </w:tc>
        <w:tc>
          <w:tcPr>
            <w:tcW w:w="1812" w:type="dxa"/>
            <w:tcBorders>
              <w:top w:val="single" w:sz="4" w:space="0" w:color="auto"/>
              <w:bottom w:val="single" w:sz="4" w:space="0" w:color="auto"/>
            </w:tcBorders>
            <w:shd w:val="clear" w:color="auto" w:fill="auto"/>
            <w:vAlign w:val="center"/>
          </w:tcPr>
          <w:p w14:paraId="2A6E1F02" w14:textId="77777777" w:rsidR="00157C88" w:rsidRPr="001A1197" w:rsidRDefault="00157C88" w:rsidP="00C410BF">
            <w:pPr>
              <w:spacing w:line="288" w:lineRule="auto"/>
              <w:jc w:val="center"/>
              <w:rPr>
                <w:rFonts w:ascii="Times New Roman" w:hAnsi="Times New Roman" w:cs="Times New Roman"/>
              </w:rPr>
            </w:pPr>
            <w:r w:rsidRPr="001A1197">
              <w:rPr>
                <w:rFonts w:ascii="Times New Roman" w:hAnsi="Times New Roman" w:cs="Times New Roman"/>
              </w:rPr>
              <w:t>Malignant</w:t>
            </w:r>
          </w:p>
          <w:p w14:paraId="45F4C5BA" w14:textId="6DF350C2" w:rsidR="00CF31EC" w:rsidRPr="001A1197" w:rsidRDefault="00CF31EC" w:rsidP="00C410BF">
            <w:pPr>
              <w:spacing w:line="288" w:lineRule="auto"/>
              <w:jc w:val="center"/>
              <w:rPr>
                <w:rFonts w:ascii="Times New Roman" w:hAnsi="Times New Roman" w:cs="Times New Roman"/>
              </w:rPr>
            </w:pPr>
            <w:r w:rsidRPr="001A1197">
              <w:rPr>
                <w:rFonts w:ascii="Times New Roman" w:hAnsi="Times New Roman" w:cs="Times New Roman"/>
              </w:rPr>
              <w:t>n (%)</w:t>
            </w:r>
          </w:p>
        </w:tc>
        <w:tc>
          <w:tcPr>
            <w:tcW w:w="1812" w:type="dxa"/>
            <w:tcBorders>
              <w:top w:val="single" w:sz="4" w:space="0" w:color="auto"/>
              <w:bottom w:val="single" w:sz="4" w:space="0" w:color="auto"/>
            </w:tcBorders>
            <w:shd w:val="clear" w:color="auto" w:fill="auto"/>
            <w:vAlign w:val="center"/>
          </w:tcPr>
          <w:p w14:paraId="424C7692" w14:textId="77777777" w:rsidR="00157C88" w:rsidRPr="001A1197" w:rsidRDefault="00157C88" w:rsidP="00C410BF">
            <w:pPr>
              <w:spacing w:line="288" w:lineRule="auto"/>
              <w:jc w:val="center"/>
              <w:rPr>
                <w:rFonts w:ascii="Times New Roman" w:hAnsi="Times New Roman" w:cs="Times New Roman"/>
                <w:bCs/>
              </w:rPr>
            </w:pPr>
            <w:r w:rsidRPr="001A1197">
              <w:rPr>
                <w:rFonts w:ascii="Times New Roman" w:hAnsi="Times New Roman" w:cs="Times New Roman"/>
                <w:bCs/>
              </w:rPr>
              <w:t>Suspicious</w:t>
            </w:r>
          </w:p>
          <w:p w14:paraId="1FFAE6F8" w14:textId="77777777" w:rsidR="00CF31EC" w:rsidRPr="001A1197" w:rsidRDefault="00CF31EC" w:rsidP="00C410BF">
            <w:pPr>
              <w:spacing w:line="288" w:lineRule="auto"/>
              <w:jc w:val="center"/>
              <w:rPr>
                <w:rFonts w:ascii="Times New Roman" w:hAnsi="Times New Roman" w:cs="Times New Roman"/>
              </w:rPr>
            </w:pPr>
            <w:r w:rsidRPr="001A1197">
              <w:rPr>
                <w:rFonts w:ascii="Times New Roman" w:hAnsi="Times New Roman" w:cs="Times New Roman"/>
              </w:rPr>
              <w:t>n (%)</w:t>
            </w:r>
          </w:p>
        </w:tc>
        <w:tc>
          <w:tcPr>
            <w:tcW w:w="1813" w:type="dxa"/>
            <w:tcBorders>
              <w:top w:val="single" w:sz="4" w:space="0" w:color="auto"/>
              <w:bottom w:val="single" w:sz="4" w:space="0" w:color="auto"/>
            </w:tcBorders>
            <w:shd w:val="clear" w:color="auto" w:fill="auto"/>
            <w:vAlign w:val="center"/>
          </w:tcPr>
          <w:p w14:paraId="21EDC379" w14:textId="77777777" w:rsidR="00157C88" w:rsidRPr="001A1197" w:rsidRDefault="00157C88" w:rsidP="00C410BF">
            <w:pPr>
              <w:spacing w:line="288" w:lineRule="auto"/>
              <w:jc w:val="center"/>
              <w:rPr>
                <w:rFonts w:ascii="Times New Roman" w:hAnsi="Times New Roman" w:cs="Times New Roman"/>
              </w:rPr>
            </w:pPr>
            <w:r w:rsidRPr="001A1197">
              <w:rPr>
                <w:rFonts w:ascii="Times New Roman" w:hAnsi="Times New Roman" w:cs="Times New Roman"/>
              </w:rPr>
              <w:t>Benign</w:t>
            </w:r>
          </w:p>
          <w:p w14:paraId="5619A35B" w14:textId="128F63A1" w:rsidR="00CF31EC" w:rsidRPr="001A1197" w:rsidRDefault="00CF31EC" w:rsidP="00C410BF">
            <w:pPr>
              <w:spacing w:line="288" w:lineRule="auto"/>
              <w:jc w:val="center"/>
              <w:rPr>
                <w:rFonts w:ascii="Times New Roman" w:hAnsi="Times New Roman" w:cs="Times New Roman"/>
              </w:rPr>
            </w:pPr>
            <w:r w:rsidRPr="001A1197">
              <w:rPr>
                <w:rFonts w:ascii="Times New Roman" w:hAnsi="Times New Roman" w:cs="Times New Roman"/>
              </w:rPr>
              <w:t>n (%)</w:t>
            </w:r>
          </w:p>
        </w:tc>
        <w:tc>
          <w:tcPr>
            <w:tcW w:w="1393" w:type="dxa"/>
            <w:vMerge/>
            <w:tcBorders>
              <w:bottom w:val="single" w:sz="4" w:space="0" w:color="auto"/>
            </w:tcBorders>
            <w:shd w:val="clear" w:color="auto" w:fill="auto"/>
          </w:tcPr>
          <w:p w14:paraId="309CB672" w14:textId="77777777" w:rsidR="00CF31EC" w:rsidRPr="001A1197" w:rsidRDefault="00CF31EC" w:rsidP="00C410BF">
            <w:pPr>
              <w:spacing w:line="288" w:lineRule="auto"/>
              <w:rPr>
                <w:rFonts w:ascii="Times New Roman" w:hAnsi="Times New Roman" w:cs="Times New Roman"/>
              </w:rPr>
            </w:pPr>
          </w:p>
        </w:tc>
      </w:tr>
      <w:tr w:rsidR="001A1197" w:rsidRPr="001A1197" w14:paraId="347D15FD" w14:textId="77777777" w:rsidTr="00452DC2">
        <w:tc>
          <w:tcPr>
            <w:tcW w:w="9093" w:type="dxa"/>
            <w:gridSpan w:val="5"/>
            <w:tcBorders>
              <w:top w:val="single" w:sz="4" w:space="0" w:color="auto"/>
            </w:tcBorders>
            <w:shd w:val="clear" w:color="auto" w:fill="auto"/>
          </w:tcPr>
          <w:p w14:paraId="0DA2AABF" w14:textId="5B08ED03" w:rsidR="00CF31EC" w:rsidRPr="001A1197" w:rsidRDefault="00157C88" w:rsidP="00C410BF">
            <w:pPr>
              <w:spacing w:line="288" w:lineRule="auto"/>
              <w:rPr>
                <w:rFonts w:ascii="Times New Roman" w:hAnsi="Times New Roman" w:cs="Times New Roman"/>
                <w:b/>
                <w:bCs/>
              </w:rPr>
            </w:pPr>
            <w:r w:rsidRPr="001A1197">
              <w:rPr>
                <w:rFonts w:ascii="Times New Roman" w:hAnsi="Times New Roman" w:cs="Times New Roman"/>
                <w:b/>
              </w:rPr>
              <w:t>Age group</w:t>
            </w:r>
          </w:p>
        </w:tc>
      </w:tr>
      <w:tr w:rsidR="001A1197" w:rsidRPr="001A1197" w14:paraId="1605E439" w14:textId="77777777" w:rsidTr="00452DC2">
        <w:tc>
          <w:tcPr>
            <w:tcW w:w="2263" w:type="dxa"/>
            <w:shd w:val="clear" w:color="auto" w:fill="auto"/>
          </w:tcPr>
          <w:p w14:paraId="3DC15204"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≤50</w:t>
            </w:r>
          </w:p>
        </w:tc>
        <w:tc>
          <w:tcPr>
            <w:tcW w:w="1812" w:type="dxa"/>
            <w:shd w:val="clear" w:color="auto" w:fill="auto"/>
          </w:tcPr>
          <w:p w14:paraId="3C744BC1" w14:textId="6ED661E3"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 (7</w:t>
            </w:r>
            <w:r w:rsidR="004011BD" w:rsidRPr="001A1197">
              <w:rPr>
                <w:rFonts w:ascii="Times New Roman" w:hAnsi="Times New Roman" w:cs="Times New Roman"/>
              </w:rPr>
              <w:t>.</w:t>
            </w:r>
            <w:r w:rsidRPr="001A1197">
              <w:rPr>
                <w:rFonts w:ascii="Times New Roman" w:hAnsi="Times New Roman" w:cs="Times New Roman"/>
              </w:rPr>
              <w:t>1)</w:t>
            </w:r>
          </w:p>
        </w:tc>
        <w:tc>
          <w:tcPr>
            <w:tcW w:w="1812" w:type="dxa"/>
            <w:shd w:val="clear" w:color="auto" w:fill="auto"/>
          </w:tcPr>
          <w:p w14:paraId="548AFEF5" w14:textId="200FD6E3"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 (7</w:t>
            </w:r>
            <w:r w:rsidR="004011BD" w:rsidRPr="001A1197">
              <w:rPr>
                <w:rFonts w:ascii="Times New Roman" w:hAnsi="Times New Roman" w:cs="Times New Roman"/>
              </w:rPr>
              <w:t>.</w:t>
            </w:r>
            <w:r w:rsidRPr="001A1197">
              <w:rPr>
                <w:rFonts w:ascii="Times New Roman" w:hAnsi="Times New Roman" w:cs="Times New Roman"/>
              </w:rPr>
              <w:t>1)</w:t>
            </w:r>
          </w:p>
        </w:tc>
        <w:tc>
          <w:tcPr>
            <w:tcW w:w="1813" w:type="dxa"/>
            <w:shd w:val="clear" w:color="auto" w:fill="auto"/>
          </w:tcPr>
          <w:p w14:paraId="7363E0A8" w14:textId="76861942"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24 (85</w:t>
            </w:r>
            <w:r w:rsidR="004011BD" w:rsidRPr="001A1197">
              <w:rPr>
                <w:rFonts w:ascii="Times New Roman" w:hAnsi="Times New Roman" w:cs="Times New Roman"/>
              </w:rPr>
              <w:t>.</w:t>
            </w:r>
            <w:r w:rsidRPr="001A1197">
              <w:rPr>
                <w:rFonts w:ascii="Times New Roman" w:hAnsi="Times New Roman" w:cs="Times New Roman"/>
              </w:rPr>
              <w:t>8)</w:t>
            </w:r>
          </w:p>
        </w:tc>
        <w:tc>
          <w:tcPr>
            <w:tcW w:w="1393" w:type="dxa"/>
            <w:vMerge w:val="restart"/>
            <w:shd w:val="clear" w:color="auto" w:fill="auto"/>
            <w:vAlign w:val="center"/>
          </w:tcPr>
          <w:p w14:paraId="59AE7D33" w14:textId="2255009A" w:rsidR="00CF31EC" w:rsidRPr="001A1197" w:rsidRDefault="00CF31EC" w:rsidP="00C410BF">
            <w:pPr>
              <w:spacing w:line="288" w:lineRule="auto"/>
              <w:jc w:val="center"/>
              <w:rPr>
                <w:rFonts w:ascii="Times New Roman" w:hAnsi="Times New Roman" w:cs="Times New Roman"/>
                <w:vertAlign w:val="superscript"/>
              </w:rPr>
            </w:pPr>
            <w:r w:rsidRPr="001A1197">
              <w:rPr>
                <w:rFonts w:ascii="Times New Roman" w:hAnsi="Times New Roman" w:cs="Times New Roman"/>
              </w:rPr>
              <w:t>0</w:t>
            </w:r>
            <w:r w:rsidR="004011BD" w:rsidRPr="001A1197">
              <w:rPr>
                <w:rFonts w:ascii="Times New Roman" w:hAnsi="Times New Roman" w:cs="Times New Roman"/>
              </w:rPr>
              <w:t>.</w:t>
            </w:r>
            <w:r w:rsidRPr="001A1197">
              <w:rPr>
                <w:rFonts w:ascii="Times New Roman" w:hAnsi="Times New Roman" w:cs="Times New Roman"/>
              </w:rPr>
              <w:t>308**</w:t>
            </w:r>
          </w:p>
        </w:tc>
      </w:tr>
      <w:tr w:rsidR="001A1197" w:rsidRPr="001A1197" w14:paraId="0C2389E3" w14:textId="77777777" w:rsidTr="00452DC2">
        <w:tc>
          <w:tcPr>
            <w:tcW w:w="2263" w:type="dxa"/>
            <w:shd w:val="clear" w:color="auto" w:fill="auto"/>
          </w:tcPr>
          <w:p w14:paraId="7B111840"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51-60</w:t>
            </w:r>
          </w:p>
        </w:tc>
        <w:tc>
          <w:tcPr>
            <w:tcW w:w="1812" w:type="dxa"/>
            <w:shd w:val="clear" w:color="auto" w:fill="auto"/>
          </w:tcPr>
          <w:p w14:paraId="59DC3C45" w14:textId="1A648B74"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4 (25</w:t>
            </w:r>
            <w:r w:rsidR="004011BD" w:rsidRPr="001A1197">
              <w:rPr>
                <w:rFonts w:ascii="Times New Roman" w:hAnsi="Times New Roman" w:cs="Times New Roman"/>
              </w:rPr>
              <w:t>.</w:t>
            </w:r>
            <w:r w:rsidRPr="001A1197">
              <w:rPr>
                <w:rFonts w:ascii="Times New Roman" w:hAnsi="Times New Roman" w:cs="Times New Roman"/>
              </w:rPr>
              <w:t>0)</w:t>
            </w:r>
          </w:p>
        </w:tc>
        <w:tc>
          <w:tcPr>
            <w:tcW w:w="1812" w:type="dxa"/>
            <w:shd w:val="clear" w:color="auto" w:fill="auto"/>
          </w:tcPr>
          <w:p w14:paraId="710107FE" w14:textId="0C1DB8F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 (6</w:t>
            </w:r>
            <w:r w:rsidR="004011BD" w:rsidRPr="001A1197">
              <w:rPr>
                <w:rFonts w:ascii="Times New Roman" w:hAnsi="Times New Roman" w:cs="Times New Roman"/>
              </w:rPr>
              <w:t>.</w:t>
            </w:r>
            <w:r w:rsidRPr="001A1197">
              <w:rPr>
                <w:rFonts w:ascii="Times New Roman" w:hAnsi="Times New Roman" w:cs="Times New Roman"/>
              </w:rPr>
              <w:t>3)</w:t>
            </w:r>
          </w:p>
        </w:tc>
        <w:tc>
          <w:tcPr>
            <w:tcW w:w="1813" w:type="dxa"/>
            <w:shd w:val="clear" w:color="auto" w:fill="auto"/>
          </w:tcPr>
          <w:p w14:paraId="4F9C8ED0" w14:textId="0B26F7A3"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11 (68</w:t>
            </w:r>
            <w:r w:rsidR="004011BD" w:rsidRPr="001A1197">
              <w:rPr>
                <w:rFonts w:ascii="Times New Roman" w:hAnsi="Times New Roman" w:cs="Times New Roman"/>
              </w:rPr>
              <w:t>.</w:t>
            </w:r>
            <w:r w:rsidRPr="001A1197">
              <w:rPr>
                <w:rFonts w:ascii="Times New Roman" w:hAnsi="Times New Roman" w:cs="Times New Roman"/>
              </w:rPr>
              <w:t>7)</w:t>
            </w:r>
          </w:p>
        </w:tc>
        <w:tc>
          <w:tcPr>
            <w:tcW w:w="1393" w:type="dxa"/>
            <w:vMerge/>
            <w:shd w:val="clear" w:color="auto" w:fill="auto"/>
          </w:tcPr>
          <w:p w14:paraId="441F9F00" w14:textId="77777777" w:rsidR="00CF31EC" w:rsidRPr="001A1197" w:rsidRDefault="00CF31EC" w:rsidP="00C410BF">
            <w:pPr>
              <w:spacing w:line="288" w:lineRule="auto"/>
              <w:rPr>
                <w:rFonts w:ascii="Times New Roman" w:hAnsi="Times New Roman" w:cs="Times New Roman"/>
              </w:rPr>
            </w:pPr>
          </w:p>
        </w:tc>
      </w:tr>
      <w:tr w:rsidR="001A1197" w:rsidRPr="001A1197" w14:paraId="76F2E1FA" w14:textId="77777777" w:rsidTr="00452DC2">
        <w:tc>
          <w:tcPr>
            <w:tcW w:w="2263" w:type="dxa"/>
            <w:shd w:val="clear" w:color="auto" w:fill="auto"/>
          </w:tcPr>
          <w:p w14:paraId="4A6D767F"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61- 70</w:t>
            </w:r>
          </w:p>
        </w:tc>
        <w:tc>
          <w:tcPr>
            <w:tcW w:w="1812" w:type="dxa"/>
            <w:shd w:val="clear" w:color="auto" w:fill="auto"/>
          </w:tcPr>
          <w:p w14:paraId="6467C658" w14:textId="1669AFEF"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13 (29</w:t>
            </w:r>
            <w:r w:rsidR="004011BD" w:rsidRPr="001A1197">
              <w:rPr>
                <w:rFonts w:ascii="Times New Roman" w:hAnsi="Times New Roman" w:cs="Times New Roman"/>
              </w:rPr>
              <w:t>.</w:t>
            </w:r>
            <w:r w:rsidRPr="001A1197">
              <w:rPr>
                <w:rFonts w:ascii="Times New Roman" w:hAnsi="Times New Roman" w:cs="Times New Roman"/>
              </w:rPr>
              <w:t>6)</w:t>
            </w:r>
          </w:p>
        </w:tc>
        <w:tc>
          <w:tcPr>
            <w:tcW w:w="1812" w:type="dxa"/>
            <w:shd w:val="clear" w:color="auto" w:fill="auto"/>
          </w:tcPr>
          <w:p w14:paraId="7C31007F" w14:textId="2D3C8766"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 (2</w:t>
            </w:r>
            <w:r w:rsidR="004011BD" w:rsidRPr="001A1197">
              <w:rPr>
                <w:rFonts w:ascii="Times New Roman" w:hAnsi="Times New Roman" w:cs="Times New Roman"/>
              </w:rPr>
              <w:t>.</w:t>
            </w:r>
            <w:r w:rsidRPr="001A1197">
              <w:rPr>
                <w:rFonts w:ascii="Times New Roman" w:hAnsi="Times New Roman" w:cs="Times New Roman"/>
              </w:rPr>
              <w:t>3)</w:t>
            </w:r>
          </w:p>
        </w:tc>
        <w:tc>
          <w:tcPr>
            <w:tcW w:w="1813" w:type="dxa"/>
            <w:shd w:val="clear" w:color="auto" w:fill="auto"/>
          </w:tcPr>
          <w:p w14:paraId="7EED02DE" w14:textId="493D0823"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30 (68</w:t>
            </w:r>
            <w:r w:rsidR="004011BD" w:rsidRPr="001A1197">
              <w:rPr>
                <w:rFonts w:ascii="Times New Roman" w:hAnsi="Times New Roman" w:cs="Times New Roman"/>
              </w:rPr>
              <w:t>.</w:t>
            </w:r>
            <w:r w:rsidRPr="001A1197">
              <w:rPr>
                <w:rFonts w:ascii="Times New Roman" w:hAnsi="Times New Roman" w:cs="Times New Roman"/>
              </w:rPr>
              <w:t>2)</w:t>
            </w:r>
          </w:p>
        </w:tc>
        <w:tc>
          <w:tcPr>
            <w:tcW w:w="1393" w:type="dxa"/>
            <w:vMerge/>
            <w:shd w:val="clear" w:color="auto" w:fill="auto"/>
          </w:tcPr>
          <w:p w14:paraId="6593ECDE" w14:textId="77777777" w:rsidR="00CF31EC" w:rsidRPr="001A1197" w:rsidRDefault="00CF31EC" w:rsidP="00C410BF">
            <w:pPr>
              <w:spacing w:line="288" w:lineRule="auto"/>
              <w:rPr>
                <w:rFonts w:ascii="Times New Roman" w:hAnsi="Times New Roman" w:cs="Times New Roman"/>
              </w:rPr>
            </w:pPr>
          </w:p>
        </w:tc>
      </w:tr>
      <w:tr w:rsidR="001A1197" w:rsidRPr="001A1197" w14:paraId="5B5DACA3" w14:textId="77777777" w:rsidTr="00452DC2">
        <w:tc>
          <w:tcPr>
            <w:tcW w:w="2263" w:type="dxa"/>
            <w:tcBorders>
              <w:bottom w:val="single" w:sz="4" w:space="0" w:color="auto"/>
            </w:tcBorders>
            <w:shd w:val="clear" w:color="auto" w:fill="auto"/>
          </w:tcPr>
          <w:p w14:paraId="5ED43226"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&gt;70</w:t>
            </w:r>
          </w:p>
        </w:tc>
        <w:tc>
          <w:tcPr>
            <w:tcW w:w="1812" w:type="dxa"/>
            <w:tcBorders>
              <w:bottom w:val="single" w:sz="4" w:space="0" w:color="auto"/>
            </w:tcBorders>
            <w:shd w:val="clear" w:color="auto" w:fill="auto"/>
          </w:tcPr>
          <w:p w14:paraId="0D94BF3D" w14:textId="6001F0B2"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20 (22</w:t>
            </w:r>
            <w:r w:rsidR="004011BD" w:rsidRPr="001A1197">
              <w:rPr>
                <w:rFonts w:ascii="Times New Roman" w:hAnsi="Times New Roman" w:cs="Times New Roman"/>
              </w:rPr>
              <w:t>.</w:t>
            </w:r>
            <w:r w:rsidRPr="001A1197">
              <w:rPr>
                <w:rFonts w:ascii="Times New Roman" w:hAnsi="Times New Roman" w:cs="Times New Roman"/>
              </w:rPr>
              <w:t>7)</w:t>
            </w:r>
          </w:p>
        </w:tc>
        <w:tc>
          <w:tcPr>
            <w:tcW w:w="1812" w:type="dxa"/>
            <w:tcBorders>
              <w:bottom w:val="single" w:sz="4" w:space="0" w:color="auto"/>
            </w:tcBorders>
            <w:shd w:val="clear" w:color="auto" w:fill="auto"/>
          </w:tcPr>
          <w:p w14:paraId="1E793C10" w14:textId="65FFF652"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6 (6</w:t>
            </w:r>
            <w:r w:rsidR="004011BD" w:rsidRPr="001A1197">
              <w:rPr>
                <w:rFonts w:ascii="Times New Roman" w:hAnsi="Times New Roman" w:cs="Times New Roman"/>
              </w:rPr>
              <w:t>.</w:t>
            </w:r>
            <w:r w:rsidRPr="001A1197">
              <w:rPr>
                <w:rFonts w:ascii="Times New Roman" w:hAnsi="Times New Roman" w:cs="Times New Roman"/>
              </w:rPr>
              <w:t>8)</w:t>
            </w:r>
          </w:p>
        </w:tc>
        <w:tc>
          <w:tcPr>
            <w:tcW w:w="1813" w:type="dxa"/>
            <w:tcBorders>
              <w:bottom w:val="single" w:sz="4" w:space="0" w:color="auto"/>
            </w:tcBorders>
            <w:shd w:val="clear" w:color="auto" w:fill="auto"/>
          </w:tcPr>
          <w:p w14:paraId="2C01EE6E" w14:textId="27D8DC1B"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62 (70</w:t>
            </w:r>
            <w:r w:rsidR="004011BD" w:rsidRPr="001A1197">
              <w:rPr>
                <w:rFonts w:ascii="Times New Roman" w:hAnsi="Times New Roman" w:cs="Times New Roman"/>
              </w:rPr>
              <w:t>.</w:t>
            </w:r>
            <w:r w:rsidRPr="001A1197">
              <w:rPr>
                <w:rFonts w:ascii="Times New Roman" w:hAnsi="Times New Roman" w:cs="Times New Roman"/>
              </w:rPr>
              <w:t>5)</w:t>
            </w:r>
          </w:p>
        </w:tc>
        <w:tc>
          <w:tcPr>
            <w:tcW w:w="1393" w:type="dxa"/>
            <w:vMerge/>
            <w:tcBorders>
              <w:bottom w:val="single" w:sz="4" w:space="0" w:color="auto"/>
            </w:tcBorders>
            <w:shd w:val="clear" w:color="auto" w:fill="auto"/>
          </w:tcPr>
          <w:p w14:paraId="6124C9C6" w14:textId="77777777" w:rsidR="00CF31EC" w:rsidRPr="001A1197" w:rsidRDefault="00CF31EC" w:rsidP="00C410BF">
            <w:pPr>
              <w:spacing w:line="288" w:lineRule="auto"/>
              <w:rPr>
                <w:rFonts w:ascii="Times New Roman" w:hAnsi="Times New Roman" w:cs="Times New Roman"/>
              </w:rPr>
            </w:pPr>
          </w:p>
        </w:tc>
      </w:tr>
      <w:tr w:rsidR="001A1197" w:rsidRPr="001A1197" w14:paraId="3807E921" w14:textId="77777777" w:rsidTr="00452DC2">
        <w:tc>
          <w:tcPr>
            <w:tcW w:w="9093" w:type="dxa"/>
            <w:gridSpan w:val="5"/>
            <w:tcBorders>
              <w:top w:val="single" w:sz="4" w:space="0" w:color="auto"/>
            </w:tcBorders>
            <w:shd w:val="clear" w:color="auto" w:fill="auto"/>
          </w:tcPr>
          <w:p w14:paraId="33B4BEC9" w14:textId="38E1EC5F" w:rsidR="00CF31EC" w:rsidRPr="001A1197" w:rsidRDefault="00157C88" w:rsidP="00C410BF">
            <w:pPr>
              <w:spacing w:line="288" w:lineRule="auto"/>
              <w:rPr>
                <w:rFonts w:ascii="Times New Roman" w:hAnsi="Times New Roman" w:cs="Times New Roman"/>
                <w:b/>
                <w:bCs/>
              </w:rPr>
            </w:pPr>
            <w:r w:rsidRPr="001A1197">
              <w:rPr>
                <w:rFonts w:ascii="Times New Roman" w:hAnsi="Times New Roman" w:cs="Times New Roman"/>
                <w:b/>
                <w:bCs/>
              </w:rPr>
              <w:t>Gender</w:t>
            </w:r>
          </w:p>
        </w:tc>
      </w:tr>
      <w:tr w:rsidR="001A1197" w:rsidRPr="001A1197" w14:paraId="6E77FEEF" w14:textId="77777777" w:rsidTr="008B18A9">
        <w:tc>
          <w:tcPr>
            <w:tcW w:w="2263" w:type="dxa"/>
            <w:shd w:val="clear" w:color="auto" w:fill="auto"/>
            <w:vAlign w:val="center"/>
          </w:tcPr>
          <w:p w14:paraId="2287751A" w14:textId="6CF62C83"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Male</w:t>
            </w:r>
          </w:p>
        </w:tc>
        <w:tc>
          <w:tcPr>
            <w:tcW w:w="1812" w:type="dxa"/>
            <w:shd w:val="clear" w:color="auto" w:fill="auto"/>
          </w:tcPr>
          <w:p w14:paraId="41A41F51" w14:textId="365A416F"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19 (17</w:t>
            </w:r>
            <w:r w:rsidR="004011BD" w:rsidRPr="001A1197">
              <w:rPr>
                <w:rFonts w:ascii="Times New Roman" w:hAnsi="Times New Roman" w:cs="Times New Roman"/>
              </w:rPr>
              <w:t>.</w:t>
            </w:r>
            <w:r w:rsidRPr="001A1197">
              <w:rPr>
                <w:rFonts w:ascii="Times New Roman" w:hAnsi="Times New Roman" w:cs="Times New Roman"/>
              </w:rPr>
              <w:t>1)</w:t>
            </w:r>
          </w:p>
        </w:tc>
        <w:tc>
          <w:tcPr>
            <w:tcW w:w="1812" w:type="dxa"/>
            <w:shd w:val="clear" w:color="auto" w:fill="auto"/>
          </w:tcPr>
          <w:p w14:paraId="50523B18" w14:textId="11A2800C"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4 (3</w:t>
            </w:r>
            <w:r w:rsidR="004011BD" w:rsidRPr="001A1197">
              <w:rPr>
                <w:rFonts w:ascii="Times New Roman" w:hAnsi="Times New Roman" w:cs="Times New Roman"/>
              </w:rPr>
              <w:t>.</w:t>
            </w:r>
            <w:r w:rsidRPr="001A1197">
              <w:rPr>
                <w:rFonts w:ascii="Times New Roman" w:hAnsi="Times New Roman" w:cs="Times New Roman"/>
              </w:rPr>
              <w:t>6)</w:t>
            </w:r>
          </w:p>
        </w:tc>
        <w:tc>
          <w:tcPr>
            <w:tcW w:w="1813" w:type="dxa"/>
            <w:shd w:val="clear" w:color="auto" w:fill="auto"/>
          </w:tcPr>
          <w:p w14:paraId="7DB1EB4C" w14:textId="763D49E9"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88 (79</w:t>
            </w:r>
            <w:r w:rsidR="004011BD" w:rsidRPr="001A1197">
              <w:rPr>
                <w:rFonts w:ascii="Times New Roman" w:hAnsi="Times New Roman" w:cs="Times New Roman"/>
              </w:rPr>
              <w:t>.</w:t>
            </w:r>
            <w:r w:rsidRPr="001A1197">
              <w:rPr>
                <w:rFonts w:ascii="Times New Roman" w:hAnsi="Times New Roman" w:cs="Times New Roman"/>
              </w:rPr>
              <w:t>3)</w:t>
            </w:r>
          </w:p>
        </w:tc>
        <w:tc>
          <w:tcPr>
            <w:tcW w:w="1393" w:type="dxa"/>
            <w:vMerge w:val="restart"/>
            <w:shd w:val="clear" w:color="auto" w:fill="auto"/>
            <w:vAlign w:val="center"/>
          </w:tcPr>
          <w:p w14:paraId="2D9CABCF" w14:textId="77777777" w:rsidR="00157C88" w:rsidRPr="001A1197" w:rsidRDefault="00157C88" w:rsidP="00C410BF">
            <w:pPr>
              <w:spacing w:line="288" w:lineRule="auto"/>
              <w:jc w:val="center"/>
              <w:rPr>
                <w:rFonts w:ascii="Times New Roman" w:hAnsi="Times New Roman" w:cs="Times New Roman"/>
                <w:b/>
                <w:bCs/>
              </w:rPr>
            </w:pPr>
            <w:r w:rsidRPr="001A1197">
              <w:rPr>
                <w:rFonts w:ascii="Times New Roman" w:hAnsi="Times New Roman" w:cs="Times New Roman"/>
                <w:b/>
                <w:bCs/>
              </w:rPr>
              <w:t>0.020*</w:t>
            </w:r>
          </w:p>
        </w:tc>
      </w:tr>
      <w:tr w:rsidR="001A1197" w:rsidRPr="001A1197" w14:paraId="395FA7D0" w14:textId="77777777" w:rsidTr="008B18A9">
        <w:tc>
          <w:tcPr>
            <w:tcW w:w="2263" w:type="dxa"/>
            <w:tcBorders>
              <w:bottom w:val="single" w:sz="4" w:space="0" w:color="auto"/>
            </w:tcBorders>
            <w:shd w:val="clear" w:color="auto" w:fill="auto"/>
            <w:vAlign w:val="center"/>
          </w:tcPr>
          <w:p w14:paraId="0C7C15C2" w14:textId="692CBA7B"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Female</w:t>
            </w:r>
          </w:p>
        </w:tc>
        <w:tc>
          <w:tcPr>
            <w:tcW w:w="1812" w:type="dxa"/>
            <w:tcBorders>
              <w:bottom w:val="single" w:sz="4" w:space="0" w:color="auto"/>
            </w:tcBorders>
            <w:shd w:val="clear" w:color="auto" w:fill="auto"/>
          </w:tcPr>
          <w:p w14:paraId="0F5B5B91" w14:textId="1FA718FD"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20 (30</w:t>
            </w:r>
            <w:r w:rsidR="004011BD" w:rsidRPr="001A1197">
              <w:rPr>
                <w:rFonts w:ascii="Times New Roman" w:hAnsi="Times New Roman" w:cs="Times New Roman"/>
              </w:rPr>
              <w:t>.</w:t>
            </w:r>
            <w:r w:rsidRPr="001A1197">
              <w:rPr>
                <w:rFonts w:ascii="Times New Roman" w:hAnsi="Times New Roman" w:cs="Times New Roman"/>
              </w:rPr>
              <w:t>8)</w:t>
            </w:r>
          </w:p>
        </w:tc>
        <w:tc>
          <w:tcPr>
            <w:tcW w:w="1812" w:type="dxa"/>
            <w:tcBorders>
              <w:bottom w:val="single" w:sz="4" w:space="0" w:color="auto"/>
            </w:tcBorders>
            <w:shd w:val="clear" w:color="auto" w:fill="auto"/>
          </w:tcPr>
          <w:p w14:paraId="3ED483F8" w14:textId="4C53421A"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6 (9</w:t>
            </w:r>
            <w:r w:rsidR="004011BD" w:rsidRPr="001A1197">
              <w:rPr>
                <w:rFonts w:ascii="Times New Roman" w:hAnsi="Times New Roman" w:cs="Times New Roman"/>
              </w:rPr>
              <w:t>.</w:t>
            </w:r>
            <w:r w:rsidRPr="001A1197">
              <w:rPr>
                <w:rFonts w:ascii="Times New Roman" w:hAnsi="Times New Roman" w:cs="Times New Roman"/>
              </w:rPr>
              <w:t>2)</w:t>
            </w:r>
          </w:p>
        </w:tc>
        <w:tc>
          <w:tcPr>
            <w:tcW w:w="1813" w:type="dxa"/>
            <w:tcBorders>
              <w:bottom w:val="single" w:sz="4" w:space="0" w:color="auto"/>
            </w:tcBorders>
            <w:shd w:val="clear" w:color="auto" w:fill="auto"/>
          </w:tcPr>
          <w:p w14:paraId="79D7A711" w14:textId="7E0F98A2"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39 (60</w:t>
            </w:r>
            <w:r w:rsidR="004011BD" w:rsidRPr="001A1197">
              <w:rPr>
                <w:rFonts w:ascii="Times New Roman" w:hAnsi="Times New Roman" w:cs="Times New Roman"/>
              </w:rPr>
              <w:t>.</w:t>
            </w:r>
            <w:r w:rsidRPr="001A1197">
              <w:rPr>
                <w:rFonts w:ascii="Times New Roman" w:hAnsi="Times New Roman" w:cs="Times New Roman"/>
              </w:rPr>
              <w:t>0)</w:t>
            </w:r>
          </w:p>
        </w:tc>
        <w:tc>
          <w:tcPr>
            <w:tcW w:w="1393" w:type="dxa"/>
            <w:vMerge/>
            <w:tcBorders>
              <w:bottom w:val="single" w:sz="4" w:space="0" w:color="auto"/>
            </w:tcBorders>
            <w:shd w:val="clear" w:color="auto" w:fill="auto"/>
          </w:tcPr>
          <w:p w14:paraId="61313F8B" w14:textId="77777777" w:rsidR="00157C88" w:rsidRPr="001A1197" w:rsidRDefault="00157C88" w:rsidP="00C410BF">
            <w:pPr>
              <w:spacing w:line="288" w:lineRule="auto"/>
              <w:rPr>
                <w:rFonts w:ascii="Times New Roman" w:hAnsi="Times New Roman" w:cs="Times New Roman"/>
              </w:rPr>
            </w:pPr>
          </w:p>
        </w:tc>
      </w:tr>
      <w:tr w:rsidR="001A1197" w:rsidRPr="001A1197" w14:paraId="47D83E99" w14:textId="77777777" w:rsidTr="00452DC2">
        <w:tc>
          <w:tcPr>
            <w:tcW w:w="9093" w:type="dxa"/>
            <w:gridSpan w:val="5"/>
            <w:tcBorders>
              <w:top w:val="single" w:sz="4" w:space="0" w:color="auto"/>
            </w:tcBorders>
            <w:shd w:val="clear" w:color="auto" w:fill="auto"/>
            <w:vAlign w:val="center"/>
          </w:tcPr>
          <w:p w14:paraId="25B5BB1E" w14:textId="10BCD177" w:rsidR="00CF31EC" w:rsidRPr="001A1197" w:rsidRDefault="00157C88" w:rsidP="00C410BF">
            <w:pPr>
              <w:spacing w:line="288" w:lineRule="auto"/>
              <w:rPr>
                <w:rFonts w:ascii="Times New Roman" w:hAnsi="Times New Roman" w:cs="Times New Roman"/>
              </w:rPr>
            </w:pPr>
            <w:r w:rsidRPr="001A1197">
              <w:rPr>
                <w:rFonts w:ascii="Times New Roman" w:hAnsi="Times New Roman" w:cs="Times New Roman"/>
                <w:b/>
                <w:bCs/>
              </w:rPr>
              <w:t>Fluid color</w:t>
            </w:r>
          </w:p>
        </w:tc>
      </w:tr>
      <w:tr w:rsidR="001A1197" w:rsidRPr="001A1197" w14:paraId="238906DC" w14:textId="77777777" w:rsidTr="00452DC2">
        <w:tc>
          <w:tcPr>
            <w:tcW w:w="2263" w:type="dxa"/>
            <w:shd w:val="clear" w:color="auto" w:fill="auto"/>
          </w:tcPr>
          <w:p w14:paraId="4DE63F1C" w14:textId="40403BCF"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Red</w:t>
            </w:r>
          </w:p>
        </w:tc>
        <w:tc>
          <w:tcPr>
            <w:tcW w:w="1812" w:type="dxa"/>
            <w:shd w:val="clear" w:color="auto" w:fill="auto"/>
          </w:tcPr>
          <w:p w14:paraId="150FF29C" w14:textId="212EEC30"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8 (18</w:t>
            </w:r>
            <w:r w:rsidR="004011BD" w:rsidRPr="001A1197">
              <w:rPr>
                <w:rFonts w:ascii="Times New Roman" w:hAnsi="Times New Roman" w:cs="Times New Roman"/>
              </w:rPr>
              <w:t>.</w:t>
            </w:r>
            <w:r w:rsidRPr="001A1197">
              <w:rPr>
                <w:rFonts w:ascii="Times New Roman" w:hAnsi="Times New Roman" w:cs="Times New Roman"/>
              </w:rPr>
              <w:t>6)</w:t>
            </w:r>
          </w:p>
        </w:tc>
        <w:tc>
          <w:tcPr>
            <w:tcW w:w="1812" w:type="dxa"/>
            <w:shd w:val="clear" w:color="auto" w:fill="auto"/>
          </w:tcPr>
          <w:p w14:paraId="1FDB118E" w14:textId="7D91BFBD"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3 (7</w:t>
            </w:r>
            <w:r w:rsidR="004011BD" w:rsidRPr="001A1197">
              <w:rPr>
                <w:rFonts w:ascii="Times New Roman" w:hAnsi="Times New Roman" w:cs="Times New Roman"/>
              </w:rPr>
              <w:t>.</w:t>
            </w:r>
            <w:r w:rsidRPr="001A1197">
              <w:rPr>
                <w:rFonts w:ascii="Times New Roman" w:hAnsi="Times New Roman" w:cs="Times New Roman"/>
              </w:rPr>
              <w:t>0)</w:t>
            </w:r>
          </w:p>
        </w:tc>
        <w:tc>
          <w:tcPr>
            <w:tcW w:w="1813" w:type="dxa"/>
            <w:shd w:val="clear" w:color="auto" w:fill="auto"/>
          </w:tcPr>
          <w:p w14:paraId="323D47FB" w14:textId="65802F12"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32 (74</w:t>
            </w:r>
            <w:r w:rsidR="004011BD" w:rsidRPr="001A1197">
              <w:rPr>
                <w:rFonts w:ascii="Times New Roman" w:hAnsi="Times New Roman" w:cs="Times New Roman"/>
              </w:rPr>
              <w:t>.</w:t>
            </w:r>
            <w:r w:rsidRPr="001A1197">
              <w:rPr>
                <w:rFonts w:ascii="Times New Roman" w:hAnsi="Times New Roman" w:cs="Times New Roman"/>
              </w:rPr>
              <w:t>4)</w:t>
            </w:r>
          </w:p>
        </w:tc>
        <w:tc>
          <w:tcPr>
            <w:tcW w:w="1393" w:type="dxa"/>
            <w:vMerge w:val="restart"/>
            <w:shd w:val="clear" w:color="auto" w:fill="auto"/>
            <w:vAlign w:val="center"/>
          </w:tcPr>
          <w:p w14:paraId="73FF4864" w14:textId="064249D9" w:rsidR="00157C88" w:rsidRPr="001A1197" w:rsidRDefault="00157C88" w:rsidP="00C410BF">
            <w:pPr>
              <w:spacing w:line="288" w:lineRule="auto"/>
              <w:jc w:val="center"/>
              <w:rPr>
                <w:rFonts w:ascii="Times New Roman" w:hAnsi="Times New Roman" w:cs="Times New Roman"/>
              </w:rPr>
            </w:pPr>
            <w:r w:rsidRPr="001A1197">
              <w:rPr>
                <w:rFonts w:ascii="Times New Roman" w:hAnsi="Times New Roman" w:cs="Times New Roman"/>
              </w:rPr>
              <w:t>0</w:t>
            </w:r>
            <w:r w:rsidR="004011BD" w:rsidRPr="001A1197">
              <w:rPr>
                <w:rFonts w:ascii="Times New Roman" w:hAnsi="Times New Roman" w:cs="Times New Roman"/>
              </w:rPr>
              <w:t>.</w:t>
            </w:r>
            <w:r w:rsidRPr="001A1197">
              <w:rPr>
                <w:rFonts w:ascii="Times New Roman" w:hAnsi="Times New Roman" w:cs="Times New Roman"/>
              </w:rPr>
              <w:t>638**</w:t>
            </w:r>
          </w:p>
        </w:tc>
      </w:tr>
      <w:tr w:rsidR="001A1197" w:rsidRPr="001A1197" w14:paraId="50DB1F44" w14:textId="77777777" w:rsidTr="00452DC2">
        <w:tc>
          <w:tcPr>
            <w:tcW w:w="2263" w:type="dxa"/>
            <w:shd w:val="clear" w:color="auto" w:fill="auto"/>
          </w:tcPr>
          <w:p w14:paraId="5AD8FA5D" w14:textId="5F21524C"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Serosanguinous</w:t>
            </w:r>
          </w:p>
        </w:tc>
        <w:tc>
          <w:tcPr>
            <w:tcW w:w="1812" w:type="dxa"/>
            <w:shd w:val="clear" w:color="auto" w:fill="auto"/>
          </w:tcPr>
          <w:p w14:paraId="5109B6D3" w14:textId="2D602B25"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8 (16</w:t>
            </w:r>
            <w:r w:rsidR="004011BD" w:rsidRPr="001A1197">
              <w:rPr>
                <w:rFonts w:ascii="Times New Roman" w:hAnsi="Times New Roman" w:cs="Times New Roman"/>
              </w:rPr>
              <w:t>.</w:t>
            </w:r>
            <w:r w:rsidRPr="001A1197">
              <w:rPr>
                <w:rFonts w:ascii="Times New Roman" w:hAnsi="Times New Roman" w:cs="Times New Roman"/>
              </w:rPr>
              <w:t>7)</w:t>
            </w:r>
          </w:p>
        </w:tc>
        <w:tc>
          <w:tcPr>
            <w:tcW w:w="1812" w:type="dxa"/>
            <w:shd w:val="clear" w:color="auto" w:fill="auto"/>
          </w:tcPr>
          <w:p w14:paraId="7CB78BD9" w14:textId="20CF688E"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3 (6</w:t>
            </w:r>
            <w:r w:rsidR="004011BD" w:rsidRPr="001A1197">
              <w:rPr>
                <w:rFonts w:ascii="Times New Roman" w:hAnsi="Times New Roman" w:cs="Times New Roman"/>
              </w:rPr>
              <w:t>.</w:t>
            </w:r>
            <w:r w:rsidRPr="001A1197">
              <w:rPr>
                <w:rFonts w:ascii="Times New Roman" w:hAnsi="Times New Roman" w:cs="Times New Roman"/>
              </w:rPr>
              <w:t>2)</w:t>
            </w:r>
          </w:p>
        </w:tc>
        <w:tc>
          <w:tcPr>
            <w:tcW w:w="1813" w:type="dxa"/>
            <w:shd w:val="clear" w:color="auto" w:fill="auto"/>
          </w:tcPr>
          <w:p w14:paraId="287D03D0" w14:textId="25B5A8D5"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37 (77</w:t>
            </w:r>
            <w:r w:rsidR="004011BD" w:rsidRPr="001A1197">
              <w:rPr>
                <w:rFonts w:ascii="Times New Roman" w:hAnsi="Times New Roman" w:cs="Times New Roman"/>
              </w:rPr>
              <w:t>.</w:t>
            </w:r>
            <w:r w:rsidRPr="001A1197">
              <w:rPr>
                <w:rFonts w:ascii="Times New Roman" w:hAnsi="Times New Roman" w:cs="Times New Roman"/>
              </w:rPr>
              <w:t>1)</w:t>
            </w:r>
          </w:p>
        </w:tc>
        <w:tc>
          <w:tcPr>
            <w:tcW w:w="1393" w:type="dxa"/>
            <w:vMerge/>
            <w:shd w:val="clear" w:color="auto" w:fill="auto"/>
          </w:tcPr>
          <w:p w14:paraId="5F07FF54" w14:textId="77777777" w:rsidR="00157C88" w:rsidRPr="001A1197" w:rsidRDefault="00157C88" w:rsidP="00C410BF">
            <w:pPr>
              <w:spacing w:line="288" w:lineRule="auto"/>
              <w:rPr>
                <w:rFonts w:ascii="Times New Roman" w:hAnsi="Times New Roman" w:cs="Times New Roman"/>
              </w:rPr>
            </w:pPr>
          </w:p>
        </w:tc>
      </w:tr>
      <w:tr w:rsidR="001A1197" w:rsidRPr="001A1197" w14:paraId="7D317DF6" w14:textId="77777777" w:rsidTr="00452DC2">
        <w:tc>
          <w:tcPr>
            <w:tcW w:w="2263" w:type="dxa"/>
            <w:tcBorders>
              <w:bottom w:val="single" w:sz="4" w:space="0" w:color="auto"/>
            </w:tcBorders>
            <w:shd w:val="clear" w:color="auto" w:fill="auto"/>
          </w:tcPr>
          <w:p w14:paraId="014B672C" w14:textId="055FD06F"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Yellow</w:t>
            </w:r>
          </w:p>
        </w:tc>
        <w:tc>
          <w:tcPr>
            <w:tcW w:w="1812" w:type="dxa"/>
            <w:tcBorders>
              <w:bottom w:val="single" w:sz="4" w:space="0" w:color="auto"/>
            </w:tcBorders>
            <w:shd w:val="clear" w:color="auto" w:fill="auto"/>
          </w:tcPr>
          <w:p w14:paraId="44C1B2F0" w14:textId="5DC93513"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23 (27</w:t>
            </w:r>
            <w:r w:rsidR="004011BD" w:rsidRPr="001A1197">
              <w:rPr>
                <w:rFonts w:ascii="Times New Roman" w:hAnsi="Times New Roman" w:cs="Times New Roman"/>
              </w:rPr>
              <w:t>.</w:t>
            </w:r>
            <w:r w:rsidRPr="001A1197">
              <w:rPr>
                <w:rFonts w:ascii="Times New Roman" w:hAnsi="Times New Roman" w:cs="Times New Roman"/>
              </w:rPr>
              <w:t>1)</w:t>
            </w:r>
          </w:p>
        </w:tc>
        <w:tc>
          <w:tcPr>
            <w:tcW w:w="1812" w:type="dxa"/>
            <w:tcBorders>
              <w:bottom w:val="single" w:sz="4" w:space="0" w:color="auto"/>
            </w:tcBorders>
            <w:shd w:val="clear" w:color="auto" w:fill="auto"/>
          </w:tcPr>
          <w:p w14:paraId="55FA849E" w14:textId="1E42F603"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4 (4</w:t>
            </w:r>
            <w:r w:rsidR="004011BD" w:rsidRPr="001A1197">
              <w:rPr>
                <w:rFonts w:ascii="Times New Roman" w:hAnsi="Times New Roman" w:cs="Times New Roman"/>
              </w:rPr>
              <w:t>.</w:t>
            </w:r>
            <w:r w:rsidRPr="001A1197">
              <w:rPr>
                <w:rFonts w:ascii="Times New Roman" w:hAnsi="Times New Roman" w:cs="Times New Roman"/>
              </w:rPr>
              <w:t>7)</w:t>
            </w:r>
          </w:p>
        </w:tc>
        <w:tc>
          <w:tcPr>
            <w:tcW w:w="1813" w:type="dxa"/>
            <w:tcBorders>
              <w:bottom w:val="single" w:sz="4" w:space="0" w:color="auto"/>
            </w:tcBorders>
            <w:shd w:val="clear" w:color="auto" w:fill="auto"/>
          </w:tcPr>
          <w:p w14:paraId="06BE8821" w14:textId="2D403D0C" w:rsidR="00157C88" w:rsidRPr="001A1197" w:rsidRDefault="00157C88" w:rsidP="00C410BF">
            <w:pPr>
              <w:spacing w:line="288" w:lineRule="auto"/>
              <w:rPr>
                <w:rFonts w:ascii="Times New Roman" w:hAnsi="Times New Roman" w:cs="Times New Roman"/>
              </w:rPr>
            </w:pPr>
            <w:r w:rsidRPr="001A1197">
              <w:rPr>
                <w:rFonts w:ascii="Times New Roman" w:hAnsi="Times New Roman" w:cs="Times New Roman"/>
              </w:rPr>
              <w:t>58 (68</w:t>
            </w:r>
            <w:r w:rsidR="004011BD" w:rsidRPr="001A1197">
              <w:rPr>
                <w:rFonts w:ascii="Times New Roman" w:hAnsi="Times New Roman" w:cs="Times New Roman"/>
              </w:rPr>
              <w:t>.</w:t>
            </w:r>
            <w:r w:rsidRPr="001A1197">
              <w:rPr>
                <w:rFonts w:ascii="Times New Roman" w:hAnsi="Times New Roman" w:cs="Times New Roman"/>
              </w:rPr>
              <w:t>2)</w:t>
            </w:r>
          </w:p>
        </w:tc>
        <w:tc>
          <w:tcPr>
            <w:tcW w:w="1393" w:type="dxa"/>
            <w:vMerge/>
            <w:tcBorders>
              <w:bottom w:val="single" w:sz="4" w:space="0" w:color="auto"/>
            </w:tcBorders>
            <w:shd w:val="clear" w:color="auto" w:fill="auto"/>
          </w:tcPr>
          <w:p w14:paraId="56790E96" w14:textId="77777777" w:rsidR="00157C88" w:rsidRPr="001A1197" w:rsidRDefault="00157C88" w:rsidP="00C410BF">
            <w:pPr>
              <w:spacing w:line="288" w:lineRule="auto"/>
              <w:rPr>
                <w:rFonts w:ascii="Times New Roman" w:hAnsi="Times New Roman" w:cs="Times New Roman"/>
              </w:rPr>
            </w:pPr>
          </w:p>
        </w:tc>
      </w:tr>
      <w:tr w:rsidR="001A1197" w:rsidRPr="001A1197" w14:paraId="779D29F6" w14:textId="77777777" w:rsidTr="00452DC2">
        <w:tc>
          <w:tcPr>
            <w:tcW w:w="9093" w:type="dxa"/>
            <w:gridSpan w:val="5"/>
            <w:tcBorders>
              <w:top w:val="single" w:sz="4" w:space="0" w:color="auto"/>
            </w:tcBorders>
            <w:shd w:val="clear" w:color="auto" w:fill="auto"/>
          </w:tcPr>
          <w:p w14:paraId="6EBA2EAA" w14:textId="6281103E" w:rsidR="00CF31EC" w:rsidRPr="001A1197" w:rsidRDefault="00010A13" w:rsidP="00C410BF">
            <w:pPr>
              <w:spacing w:line="288" w:lineRule="auto"/>
              <w:rPr>
                <w:rFonts w:ascii="Times New Roman" w:hAnsi="Times New Roman" w:cs="Times New Roman"/>
              </w:rPr>
            </w:pPr>
            <w:r w:rsidRPr="001A1197">
              <w:rPr>
                <w:rFonts w:ascii="Times New Roman" w:hAnsi="Times New Roman" w:cs="Times New Roman"/>
                <w:b/>
                <w:bCs/>
              </w:rPr>
              <w:t>Fluid volume</w:t>
            </w:r>
          </w:p>
        </w:tc>
      </w:tr>
      <w:tr w:rsidR="001A1197" w:rsidRPr="001A1197" w14:paraId="390D58EA" w14:textId="77777777" w:rsidTr="00452DC2">
        <w:tc>
          <w:tcPr>
            <w:tcW w:w="2263" w:type="dxa"/>
            <w:shd w:val="clear" w:color="auto" w:fill="auto"/>
          </w:tcPr>
          <w:p w14:paraId="635FCC75"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&lt;50 mL</w:t>
            </w:r>
          </w:p>
        </w:tc>
        <w:tc>
          <w:tcPr>
            <w:tcW w:w="1812" w:type="dxa"/>
            <w:shd w:val="clear" w:color="auto" w:fill="auto"/>
          </w:tcPr>
          <w:p w14:paraId="6D339BB6" w14:textId="7DF7569B"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5 (22</w:t>
            </w:r>
            <w:r w:rsidR="004011BD" w:rsidRPr="001A1197">
              <w:rPr>
                <w:rFonts w:ascii="Times New Roman" w:hAnsi="Times New Roman" w:cs="Times New Roman"/>
              </w:rPr>
              <w:t>.</w:t>
            </w:r>
            <w:r w:rsidRPr="001A1197">
              <w:rPr>
                <w:rFonts w:ascii="Times New Roman" w:hAnsi="Times New Roman" w:cs="Times New Roman"/>
              </w:rPr>
              <w:t>7)</w:t>
            </w:r>
          </w:p>
        </w:tc>
        <w:tc>
          <w:tcPr>
            <w:tcW w:w="1812" w:type="dxa"/>
            <w:shd w:val="clear" w:color="auto" w:fill="auto"/>
          </w:tcPr>
          <w:p w14:paraId="6FE994F1" w14:textId="3B9C41B8"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4 (18</w:t>
            </w:r>
            <w:r w:rsidR="004011BD" w:rsidRPr="001A1197">
              <w:rPr>
                <w:rFonts w:ascii="Times New Roman" w:hAnsi="Times New Roman" w:cs="Times New Roman"/>
              </w:rPr>
              <w:t>.</w:t>
            </w:r>
            <w:r w:rsidRPr="001A1197">
              <w:rPr>
                <w:rFonts w:ascii="Times New Roman" w:hAnsi="Times New Roman" w:cs="Times New Roman"/>
              </w:rPr>
              <w:t>2)</w:t>
            </w:r>
          </w:p>
        </w:tc>
        <w:tc>
          <w:tcPr>
            <w:tcW w:w="1813" w:type="dxa"/>
            <w:shd w:val="clear" w:color="auto" w:fill="auto"/>
          </w:tcPr>
          <w:p w14:paraId="6F03DD41" w14:textId="13D145B6"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13 (59</w:t>
            </w:r>
            <w:r w:rsidR="004011BD" w:rsidRPr="001A1197">
              <w:rPr>
                <w:rFonts w:ascii="Times New Roman" w:hAnsi="Times New Roman" w:cs="Times New Roman"/>
              </w:rPr>
              <w:t>.</w:t>
            </w:r>
            <w:r w:rsidRPr="001A1197">
              <w:rPr>
                <w:rFonts w:ascii="Times New Roman" w:hAnsi="Times New Roman" w:cs="Times New Roman"/>
              </w:rPr>
              <w:t>1)</w:t>
            </w:r>
          </w:p>
        </w:tc>
        <w:tc>
          <w:tcPr>
            <w:tcW w:w="1393" w:type="dxa"/>
            <w:vMerge w:val="restart"/>
            <w:shd w:val="clear" w:color="auto" w:fill="auto"/>
            <w:vAlign w:val="center"/>
          </w:tcPr>
          <w:p w14:paraId="024C02A0" w14:textId="0102DA2B" w:rsidR="00CF31EC" w:rsidRPr="001A1197" w:rsidRDefault="00CF31EC" w:rsidP="00C410BF">
            <w:pPr>
              <w:spacing w:line="288" w:lineRule="auto"/>
              <w:jc w:val="center"/>
              <w:rPr>
                <w:rFonts w:ascii="Times New Roman" w:hAnsi="Times New Roman" w:cs="Times New Roman"/>
                <w:b/>
                <w:bCs/>
              </w:rPr>
            </w:pPr>
            <w:r w:rsidRPr="001A1197">
              <w:rPr>
                <w:rFonts w:ascii="Times New Roman" w:hAnsi="Times New Roman" w:cs="Times New Roman"/>
                <w:b/>
                <w:bCs/>
              </w:rPr>
              <w:t>0</w:t>
            </w:r>
            <w:r w:rsidR="004011BD" w:rsidRPr="001A1197">
              <w:rPr>
                <w:rFonts w:ascii="Times New Roman" w:hAnsi="Times New Roman" w:cs="Times New Roman"/>
                <w:b/>
                <w:bCs/>
              </w:rPr>
              <w:t>.</w:t>
            </w:r>
            <w:r w:rsidRPr="001A1197">
              <w:rPr>
                <w:rFonts w:ascii="Times New Roman" w:hAnsi="Times New Roman" w:cs="Times New Roman"/>
                <w:b/>
                <w:bCs/>
              </w:rPr>
              <w:t>030**</w:t>
            </w:r>
          </w:p>
        </w:tc>
      </w:tr>
      <w:tr w:rsidR="001A1197" w:rsidRPr="001A1197" w14:paraId="64506E5E" w14:textId="77777777" w:rsidTr="00452DC2">
        <w:tc>
          <w:tcPr>
            <w:tcW w:w="2263" w:type="dxa"/>
            <w:shd w:val="clear" w:color="auto" w:fill="auto"/>
          </w:tcPr>
          <w:p w14:paraId="5018E9F7"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50 – 250 mL</w:t>
            </w:r>
          </w:p>
        </w:tc>
        <w:tc>
          <w:tcPr>
            <w:tcW w:w="1812" w:type="dxa"/>
            <w:shd w:val="clear" w:color="auto" w:fill="auto"/>
          </w:tcPr>
          <w:p w14:paraId="66D49B38" w14:textId="03FD86AF"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16 (28</w:t>
            </w:r>
            <w:r w:rsidR="004011BD" w:rsidRPr="001A1197">
              <w:rPr>
                <w:rFonts w:ascii="Times New Roman" w:hAnsi="Times New Roman" w:cs="Times New Roman"/>
              </w:rPr>
              <w:t>.</w:t>
            </w:r>
            <w:r w:rsidRPr="001A1197">
              <w:rPr>
                <w:rFonts w:ascii="Times New Roman" w:hAnsi="Times New Roman" w:cs="Times New Roman"/>
              </w:rPr>
              <w:t>6)</w:t>
            </w:r>
          </w:p>
        </w:tc>
        <w:tc>
          <w:tcPr>
            <w:tcW w:w="1812" w:type="dxa"/>
            <w:shd w:val="clear" w:color="auto" w:fill="auto"/>
          </w:tcPr>
          <w:p w14:paraId="0553A22B" w14:textId="5661585B"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 (3</w:t>
            </w:r>
            <w:r w:rsidR="004011BD" w:rsidRPr="001A1197">
              <w:rPr>
                <w:rFonts w:ascii="Times New Roman" w:hAnsi="Times New Roman" w:cs="Times New Roman"/>
              </w:rPr>
              <w:t>.</w:t>
            </w:r>
            <w:r w:rsidRPr="001A1197">
              <w:rPr>
                <w:rFonts w:ascii="Times New Roman" w:hAnsi="Times New Roman" w:cs="Times New Roman"/>
              </w:rPr>
              <w:t>6)</w:t>
            </w:r>
          </w:p>
        </w:tc>
        <w:tc>
          <w:tcPr>
            <w:tcW w:w="1813" w:type="dxa"/>
            <w:shd w:val="clear" w:color="auto" w:fill="auto"/>
          </w:tcPr>
          <w:p w14:paraId="7480F188" w14:textId="72609511"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38 (67</w:t>
            </w:r>
            <w:r w:rsidR="004011BD" w:rsidRPr="001A1197">
              <w:rPr>
                <w:rFonts w:ascii="Times New Roman" w:hAnsi="Times New Roman" w:cs="Times New Roman"/>
              </w:rPr>
              <w:t>.</w:t>
            </w:r>
            <w:r w:rsidRPr="001A1197">
              <w:rPr>
                <w:rFonts w:ascii="Times New Roman" w:hAnsi="Times New Roman" w:cs="Times New Roman"/>
              </w:rPr>
              <w:t>8)</w:t>
            </w:r>
          </w:p>
        </w:tc>
        <w:tc>
          <w:tcPr>
            <w:tcW w:w="1393" w:type="dxa"/>
            <w:vMerge/>
            <w:shd w:val="clear" w:color="auto" w:fill="auto"/>
          </w:tcPr>
          <w:p w14:paraId="11BEEB2A" w14:textId="77777777" w:rsidR="00CF31EC" w:rsidRPr="001A1197" w:rsidRDefault="00CF31EC" w:rsidP="00C410BF">
            <w:pPr>
              <w:spacing w:line="288" w:lineRule="auto"/>
              <w:rPr>
                <w:rFonts w:ascii="Times New Roman" w:hAnsi="Times New Roman" w:cs="Times New Roman"/>
              </w:rPr>
            </w:pPr>
          </w:p>
        </w:tc>
      </w:tr>
      <w:tr w:rsidR="001A1197" w:rsidRPr="001A1197" w14:paraId="05CBF91B" w14:textId="77777777" w:rsidTr="00452DC2">
        <w:tc>
          <w:tcPr>
            <w:tcW w:w="2263" w:type="dxa"/>
            <w:shd w:val="clear" w:color="auto" w:fill="auto"/>
          </w:tcPr>
          <w:p w14:paraId="7CA6EA41"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lastRenderedPageBreak/>
              <w:t>&gt;250 – 500 mL</w:t>
            </w:r>
          </w:p>
        </w:tc>
        <w:tc>
          <w:tcPr>
            <w:tcW w:w="1812" w:type="dxa"/>
            <w:shd w:val="clear" w:color="auto" w:fill="auto"/>
          </w:tcPr>
          <w:p w14:paraId="2A75C536" w14:textId="091A9F5A"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13 (16</w:t>
            </w:r>
            <w:r w:rsidR="004011BD" w:rsidRPr="001A1197">
              <w:rPr>
                <w:rFonts w:ascii="Times New Roman" w:hAnsi="Times New Roman" w:cs="Times New Roman"/>
              </w:rPr>
              <w:t>.</w:t>
            </w:r>
            <w:r w:rsidRPr="001A1197">
              <w:rPr>
                <w:rFonts w:ascii="Times New Roman" w:hAnsi="Times New Roman" w:cs="Times New Roman"/>
              </w:rPr>
              <w:t>1)</w:t>
            </w:r>
          </w:p>
        </w:tc>
        <w:tc>
          <w:tcPr>
            <w:tcW w:w="1812" w:type="dxa"/>
            <w:shd w:val="clear" w:color="auto" w:fill="auto"/>
          </w:tcPr>
          <w:p w14:paraId="031B7D5D" w14:textId="56DD8E89"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 (2</w:t>
            </w:r>
            <w:r w:rsidR="004011BD" w:rsidRPr="001A1197">
              <w:rPr>
                <w:rFonts w:ascii="Times New Roman" w:hAnsi="Times New Roman" w:cs="Times New Roman"/>
              </w:rPr>
              <w:t>.</w:t>
            </w:r>
            <w:r w:rsidRPr="001A1197">
              <w:rPr>
                <w:rFonts w:ascii="Times New Roman" w:hAnsi="Times New Roman" w:cs="Times New Roman"/>
              </w:rPr>
              <w:t>5)</w:t>
            </w:r>
          </w:p>
        </w:tc>
        <w:tc>
          <w:tcPr>
            <w:tcW w:w="1813" w:type="dxa"/>
            <w:shd w:val="clear" w:color="auto" w:fill="auto"/>
          </w:tcPr>
          <w:p w14:paraId="50A51CF8" w14:textId="7A718FB5"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66 (81</w:t>
            </w:r>
            <w:r w:rsidR="004011BD" w:rsidRPr="001A1197">
              <w:rPr>
                <w:rFonts w:ascii="Times New Roman" w:hAnsi="Times New Roman" w:cs="Times New Roman"/>
              </w:rPr>
              <w:t>.</w:t>
            </w:r>
            <w:r w:rsidRPr="001A1197">
              <w:rPr>
                <w:rFonts w:ascii="Times New Roman" w:hAnsi="Times New Roman" w:cs="Times New Roman"/>
              </w:rPr>
              <w:t>4)</w:t>
            </w:r>
          </w:p>
        </w:tc>
        <w:tc>
          <w:tcPr>
            <w:tcW w:w="1393" w:type="dxa"/>
            <w:vMerge/>
            <w:shd w:val="clear" w:color="auto" w:fill="auto"/>
          </w:tcPr>
          <w:p w14:paraId="69553B2C" w14:textId="77777777" w:rsidR="00CF31EC" w:rsidRPr="001A1197" w:rsidRDefault="00CF31EC" w:rsidP="00C410BF">
            <w:pPr>
              <w:spacing w:line="288" w:lineRule="auto"/>
              <w:rPr>
                <w:rFonts w:ascii="Times New Roman" w:hAnsi="Times New Roman" w:cs="Times New Roman"/>
              </w:rPr>
            </w:pPr>
          </w:p>
        </w:tc>
      </w:tr>
      <w:tr w:rsidR="001A1197" w:rsidRPr="001A1197" w14:paraId="1E95EF1A" w14:textId="77777777" w:rsidTr="00452DC2">
        <w:tc>
          <w:tcPr>
            <w:tcW w:w="2263" w:type="dxa"/>
            <w:tcBorders>
              <w:bottom w:val="single" w:sz="4" w:space="0" w:color="auto"/>
            </w:tcBorders>
            <w:shd w:val="clear" w:color="auto" w:fill="auto"/>
          </w:tcPr>
          <w:p w14:paraId="7D20266B" w14:textId="77777777"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&gt;500 mL</w:t>
            </w:r>
          </w:p>
        </w:tc>
        <w:tc>
          <w:tcPr>
            <w:tcW w:w="1812" w:type="dxa"/>
            <w:tcBorders>
              <w:bottom w:val="single" w:sz="4" w:space="0" w:color="auto"/>
            </w:tcBorders>
            <w:shd w:val="clear" w:color="auto" w:fill="auto"/>
          </w:tcPr>
          <w:p w14:paraId="556EDE1E" w14:textId="46F1FA48"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5 (29</w:t>
            </w:r>
            <w:r w:rsidR="004011BD" w:rsidRPr="001A1197">
              <w:rPr>
                <w:rFonts w:ascii="Times New Roman" w:hAnsi="Times New Roman" w:cs="Times New Roman"/>
              </w:rPr>
              <w:t>.</w:t>
            </w:r>
            <w:r w:rsidRPr="001A1197">
              <w:rPr>
                <w:rFonts w:ascii="Times New Roman" w:hAnsi="Times New Roman" w:cs="Times New Roman"/>
              </w:rPr>
              <w:t>4)</w:t>
            </w:r>
          </w:p>
        </w:tc>
        <w:tc>
          <w:tcPr>
            <w:tcW w:w="1812" w:type="dxa"/>
            <w:tcBorders>
              <w:bottom w:val="single" w:sz="4" w:space="0" w:color="auto"/>
            </w:tcBorders>
            <w:shd w:val="clear" w:color="auto" w:fill="auto"/>
          </w:tcPr>
          <w:p w14:paraId="194BF97F" w14:textId="26C79B8E"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2 (11</w:t>
            </w:r>
            <w:r w:rsidR="004011BD" w:rsidRPr="001A1197">
              <w:rPr>
                <w:rFonts w:ascii="Times New Roman" w:hAnsi="Times New Roman" w:cs="Times New Roman"/>
              </w:rPr>
              <w:t>.</w:t>
            </w:r>
            <w:r w:rsidRPr="001A1197">
              <w:rPr>
                <w:rFonts w:ascii="Times New Roman" w:hAnsi="Times New Roman" w:cs="Times New Roman"/>
              </w:rPr>
              <w:t>8)</w:t>
            </w:r>
          </w:p>
        </w:tc>
        <w:tc>
          <w:tcPr>
            <w:tcW w:w="1813" w:type="dxa"/>
            <w:tcBorders>
              <w:bottom w:val="single" w:sz="4" w:space="0" w:color="auto"/>
            </w:tcBorders>
            <w:shd w:val="clear" w:color="auto" w:fill="auto"/>
          </w:tcPr>
          <w:p w14:paraId="12AF3363" w14:textId="19C75F69" w:rsidR="00CF31EC" w:rsidRPr="001A1197" w:rsidRDefault="00CF31EC" w:rsidP="00C410BF">
            <w:pPr>
              <w:spacing w:line="288" w:lineRule="auto"/>
              <w:rPr>
                <w:rFonts w:ascii="Times New Roman" w:hAnsi="Times New Roman" w:cs="Times New Roman"/>
              </w:rPr>
            </w:pPr>
            <w:r w:rsidRPr="001A1197">
              <w:rPr>
                <w:rFonts w:ascii="Times New Roman" w:hAnsi="Times New Roman" w:cs="Times New Roman"/>
              </w:rPr>
              <w:t>10 (58</w:t>
            </w:r>
            <w:r w:rsidR="004011BD" w:rsidRPr="001A1197">
              <w:rPr>
                <w:rFonts w:ascii="Times New Roman" w:hAnsi="Times New Roman" w:cs="Times New Roman"/>
              </w:rPr>
              <w:t>.</w:t>
            </w:r>
            <w:r w:rsidRPr="001A1197">
              <w:rPr>
                <w:rFonts w:ascii="Times New Roman" w:hAnsi="Times New Roman" w:cs="Times New Roman"/>
              </w:rPr>
              <w:t>8)</w:t>
            </w:r>
          </w:p>
        </w:tc>
        <w:tc>
          <w:tcPr>
            <w:tcW w:w="1393" w:type="dxa"/>
            <w:vMerge/>
            <w:tcBorders>
              <w:bottom w:val="single" w:sz="4" w:space="0" w:color="auto"/>
            </w:tcBorders>
            <w:shd w:val="clear" w:color="auto" w:fill="auto"/>
          </w:tcPr>
          <w:p w14:paraId="665323EC" w14:textId="77777777" w:rsidR="00CF31EC" w:rsidRPr="001A1197" w:rsidRDefault="00CF31EC" w:rsidP="00C410BF">
            <w:pPr>
              <w:spacing w:line="288" w:lineRule="auto"/>
              <w:rPr>
                <w:rFonts w:ascii="Times New Roman" w:hAnsi="Times New Roman" w:cs="Times New Roman"/>
              </w:rPr>
            </w:pPr>
          </w:p>
        </w:tc>
      </w:tr>
    </w:tbl>
    <w:p w14:paraId="79026E2A" w14:textId="77777777" w:rsidR="00CF31EC" w:rsidRPr="001A1197" w:rsidRDefault="00CF31EC" w:rsidP="00C410BF">
      <w:pPr>
        <w:pStyle w:val="b"/>
        <w:spacing w:before="0" w:after="0"/>
        <w:ind w:firstLine="567"/>
        <w:jc w:val="right"/>
        <w:rPr>
          <w:b w:val="0"/>
          <w:bCs/>
          <w:i/>
          <w:iCs/>
          <w:sz w:val="22"/>
          <w:szCs w:val="22"/>
        </w:rPr>
      </w:pPr>
      <w:bookmarkStart w:id="16" w:name="_Toc144297353"/>
      <w:r w:rsidRPr="001A1197">
        <w:rPr>
          <w:b w:val="0"/>
          <w:bCs/>
          <w:sz w:val="22"/>
          <w:szCs w:val="22"/>
        </w:rPr>
        <w:t>*</w:t>
      </w:r>
      <w:r w:rsidRPr="001A1197">
        <w:rPr>
          <w:b w:val="0"/>
          <w:bCs/>
          <w:i/>
          <w:iCs/>
          <w:sz w:val="22"/>
          <w:szCs w:val="22"/>
        </w:rPr>
        <w:t>Chi-square</w:t>
      </w:r>
    </w:p>
    <w:bookmarkEnd w:id="16"/>
    <w:p w14:paraId="6D494A86" w14:textId="77777777" w:rsidR="00CF31EC" w:rsidRPr="001A1197" w:rsidRDefault="00CF31EC" w:rsidP="00C410BF">
      <w:pPr>
        <w:pStyle w:val="b"/>
        <w:spacing w:before="0" w:after="0"/>
        <w:ind w:firstLine="567"/>
        <w:jc w:val="right"/>
        <w:rPr>
          <w:b w:val="0"/>
          <w:bCs/>
          <w:i/>
          <w:iCs/>
          <w:sz w:val="22"/>
          <w:szCs w:val="22"/>
        </w:rPr>
      </w:pPr>
      <w:r w:rsidRPr="001A1197">
        <w:rPr>
          <w:b w:val="0"/>
          <w:bCs/>
          <w:i/>
          <w:iCs/>
          <w:sz w:val="22"/>
          <w:szCs w:val="22"/>
        </w:rPr>
        <w:t>**Fisher</w:t>
      </w:r>
      <w:r w:rsidRPr="001A1197">
        <w:rPr>
          <w:b w:val="0"/>
          <w:bCs/>
          <w:i/>
          <w:iCs/>
          <w:sz w:val="22"/>
          <w:szCs w:val="22"/>
          <w:lang w:val="vi-VN"/>
        </w:rPr>
        <w:t>’s</w:t>
      </w:r>
      <w:r w:rsidRPr="001A1197">
        <w:rPr>
          <w:b w:val="0"/>
          <w:bCs/>
          <w:i/>
          <w:iCs/>
          <w:sz w:val="22"/>
          <w:szCs w:val="22"/>
        </w:rPr>
        <w:t>-exact test</w:t>
      </w:r>
    </w:p>
    <w:p w14:paraId="36A4BFC5" w14:textId="3A888E82" w:rsidR="00E440AB" w:rsidRPr="001A1197" w:rsidRDefault="00E440AB" w:rsidP="00C410BF">
      <w:pPr>
        <w:tabs>
          <w:tab w:val="left" w:pos="0"/>
        </w:tabs>
        <w:spacing w:before="0" w:after="0"/>
        <w:outlineLvl w:val="0"/>
        <w:rPr>
          <w:bCs/>
          <w:sz w:val="22"/>
          <w:szCs w:val="22"/>
        </w:rPr>
      </w:pPr>
      <w:bookmarkStart w:id="17" w:name="_Toc116138590"/>
      <w:bookmarkStart w:id="18" w:name="_Toc116146060"/>
      <w:r w:rsidRPr="001A1197">
        <w:rPr>
          <w:bCs/>
          <w:sz w:val="22"/>
          <w:szCs w:val="22"/>
        </w:rPr>
        <w:t>Table 3 shows that:</w:t>
      </w:r>
    </w:p>
    <w:p w14:paraId="695DB345" w14:textId="77777777" w:rsidR="00E440AB" w:rsidRPr="001A1197" w:rsidRDefault="00E440AB" w:rsidP="00C410BF">
      <w:pPr>
        <w:tabs>
          <w:tab w:val="left" w:pos="0"/>
        </w:tabs>
        <w:spacing w:before="0" w:after="0"/>
        <w:outlineLvl w:val="0"/>
        <w:rPr>
          <w:bCs/>
          <w:sz w:val="22"/>
          <w:szCs w:val="22"/>
        </w:rPr>
      </w:pPr>
      <w:r w:rsidRPr="001A1197">
        <w:rPr>
          <w:bCs/>
          <w:sz w:val="22"/>
          <w:szCs w:val="22"/>
        </w:rPr>
        <w:t>There is a statistically significant association between gender and the cytological diagnosis results of the cell block technique for pleural effusion (p&lt;0.05). The rates of malignancy and suspicious cases are higher in females than in males.</w:t>
      </w:r>
    </w:p>
    <w:p w14:paraId="59016A9D" w14:textId="77777777" w:rsidR="00E440AB" w:rsidRPr="001A1197" w:rsidRDefault="00E440AB" w:rsidP="00C410BF">
      <w:pPr>
        <w:tabs>
          <w:tab w:val="left" w:pos="0"/>
        </w:tabs>
        <w:spacing w:before="0" w:after="0"/>
        <w:outlineLvl w:val="0"/>
        <w:rPr>
          <w:bCs/>
          <w:sz w:val="22"/>
          <w:szCs w:val="22"/>
        </w:rPr>
      </w:pPr>
      <w:r w:rsidRPr="001A1197">
        <w:rPr>
          <w:bCs/>
          <w:sz w:val="22"/>
          <w:szCs w:val="22"/>
        </w:rPr>
        <w:t>There is a statistically significant association between fluid volume and the cytological diagnosis results of the cell block technique for pleural effusion (p&lt;0.05). The rates of malignancy and suspicious cases are higher in samples with a volume &gt;500 mL compared to other samples.</w:t>
      </w:r>
    </w:p>
    <w:p w14:paraId="2DEC8430" w14:textId="4EE06133" w:rsidR="00E440AB" w:rsidRPr="001A1197" w:rsidRDefault="00E440AB" w:rsidP="00C410BF">
      <w:pPr>
        <w:tabs>
          <w:tab w:val="left" w:pos="0"/>
        </w:tabs>
        <w:spacing w:before="0" w:after="0"/>
        <w:outlineLvl w:val="0"/>
        <w:rPr>
          <w:bCs/>
          <w:sz w:val="22"/>
          <w:szCs w:val="22"/>
        </w:rPr>
      </w:pPr>
      <w:r w:rsidRPr="001A1197">
        <w:rPr>
          <w:bCs/>
          <w:sz w:val="22"/>
          <w:szCs w:val="22"/>
        </w:rPr>
        <w:t>The rates of malignancy and suspicious cases are higher in red-colored fluid samples than in other samples. However, this result is not statistically significant (p&gt;0.05).</w:t>
      </w:r>
    </w:p>
    <w:p w14:paraId="4274E857" w14:textId="77777777" w:rsidR="00E440AB" w:rsidRPr="001A1197" w:rsidRDefault="00E440AB" w:rsidP="00C410BF">
      <w:pPr>
        <w:pStyle w:val="ListParagraph"/>
        <w:tabs>
          <w:tab w:val="left" w:pos="0"/>
        </w:tabs>
        <w:spacing w:before="0" w:after="0"/>
        <w:ind w:left="0"/>
        <w:outlineLvl w:val="0"/>
        <w:rPr>
          <w:rFonts w:eastAsia="Calibri" w:cs="Times New Roman"/>
          <w:bCs/>
          <w:sz w:val="22"/>
        </w:rPr>
      </w:pPr>
      <w:r w:rsidRPr="001A1197">
        <w:rPr>
          <w:rFonts w:eastAsia="Calibri" w:cs="Times New Roman"/>
          <w:bCs/>
          <w:sz w:val="22"/>
        </w:rPr>
        <w:t>There is no statistically significant association between age group and the cytological diagnosis results of the cell block technique for pleural effusion (p&gt;0.05).</w:t>
      </w:r>
    </w:p>
    <w:p w14:paraId="2409D49F" w14:textId="0D098D0D" w:rsidR="002F11E2" w:rsidRPr="001A1197" w:rsidRDefault="002F11E2" w:rsidP="00C410BF">
      <w:pPr>
        <w:pStyle w:val="ListParagraph"/>
        <w:tabs>
          <w:tab w:val="left" w:pos="0"/>
        </w:tabs>
        <w:spacing w:before="0" w:after="0"/>
        <w:ind w:left="0"/>
        <w:outlineLvl w:val="0"/>
        <w:rPr>
          <w:rFonts w:cs="Times New Roman"/>
          <w:b/>
          <w:sz w:val="22"/>
        </w:rPr>
      </w:pPr>
      <w:r w:rsidRPr="001A1197">
        <w:rPr>
          <w:rFonts w:cs="Times New Roman"/>
          <w:b/>
          <w:sz w:val="22"/>
        </w:rPr>
        <w:t xml:space="preserve">IV. </w:t>
      </w:r>
      <w:bookmarkEnd w:id="17"/>
      <w:bookmarkEnd w:id="18"/>
      <w:r w:rsidRPr="001A1197">
        <w:rPr>
          <w:rFonts w:cs="Times New Roman"/>
          <w:b/>
          <w:sz w:val="22"/>
        </w:rPr>
        <w:t>DISCUSSION</w:t>
      </w:r>
    </w:p>
    <w:p w14:paraId="7670B453" w14:textId="20C23BC7" w:rsidR="001D743D" w:rsidRPr="001A1197" w:rsidRDefault="00A16988" w:rsidP="00C410BF">
      <w:pPr>
        <w:spacing w:before="0" w:after="0"/>
        <w:rPr>
          <w:sz w:val="22"/>
          <w:szCs w:val="22"/>
        </w:rPr>
      </w:pPr>
      <w:r w:rsidRPr="001A1197">
        <w:rPr>
          <w:sz w:val="22"/>
          <w:szCs w:val="22"/>
          <w:lang w:eastAsia="x-none"/>
        </w:rPr>
        <w:t>Our study, conducted on 176 pleural effusion samples, showed that the majority of samples were obtained from patients over 70 years old. Male patients outnumbered female patients, with corresponding rates of 63.1% and 36.9%. Yellow-colored fluid had the highest proportion (48.3%), while red-colored fluid had the lowest proportion (24.4%). Our results are similar to those of Nguy</w:t>
      </w:r>
      <w:r w:rsidR="001F07C9">
        <w:rPr>
          <w:sz w:val="22"/>
          <w:szCs w:val="22"/>
          <w:lang w:eastAsia="x-none"/>
        </w:rPr>
        <w:t>e</w:t>
      </w:r>
      <w:r w:rsidRPr="001A1197">
        <w:rPr>
          <w:sz w:val="22"/>
          <w:szCs w:val="22"/>
          <w:lang w:eastAsia="x-none"/>
        </w:rPr>
        <w:t xml:space="preserve">n Quang Thi (2022), in which yellow-colored fluid accounted for the majority (61.3%) </w:t>
      </w:r>
      <w:r w:rsidR="00515335" w:rsidRPr="001A1197">
        <w:rPr>
          <w:sz w:val="22"/>
          <w:szCs w:val="22"/>
        </w:rPr>
        <w:fldChar w:fldCharType="begin"/>
      </w:r>
      <w:r w:rsidR="007B2225" w:rsidRPr="001A1197">
        <w:rPr>
          <w:sz w:val="22"/>
          <w:szCs w:val="22"/>
        </w:rPr>
        <w:instrText xml:space="preserve"> ADDIN ZOTERO_ITEM CSL_CITATION {"citationID":"68Xzodwl","properties":{"formattedCitation":"[2]","plainCitation":"[2]","noteIndex":0},"citationItems":[{"id":42,"uris":["http://zotero.org/users/local/CffHrRrr/items/8L7LY3BM"],"itemData":{"id":42,"type":"article-journal","abstract":"Objective: To evaluate the effectiveness of cell block technique in the cytodiagnosis of some body cavity effusions at the 108 Military Central Hospital. Subject and method: A descriptive study on 1402 patients with 1786 times of performing cell block technique at the 108 Military Central Hospital from January 2017 to September 2021. Result and conclusion: The mean age of the patients was 63.3 ± 15.8 years; the ratio of men:women was 2.3:1. Pleural effusion accounted for the majority (75%); yellow fluid was the main color (61.3%); the volume of fluid less than or equal to 250ml accounted for the highest percentage (65.7%). The cytodiagnosis showed that the number of benign cases accounted for a high rate of 70.5%, the rate of malignancy and suspected malignancy accounted for 27.7%. The cell block technique was highly effective in the cytodiagnosis of some body cavity effusions with the success rate of 98.2%. The majority of cases that did not form a cell block were pleural fluid (78.1%), yellow (62.5%) and volume less than 50ml was 53.1%.","container-title":"Journal of 108 - Clinical Medicine and Phamarcy","DOI":"10.52389/ydls.v17iDB8.1316","ISSN":"1859-2872","issue":"8","language":"vi","license":"Copyright (c)","page":"156-162","source":"tcydls108.benhvien108.vn","title":"Efficacy of cell block technique in the cytodiagnosis of some body cavityeffusions at the 108 Military Central Hospital","volume":"17","author":[{"family":"","given":"Nguyen Quang Thi"},{"family":"","given":"Nguyễn Thị Ngọc Ánh"},{"family":"","given":"Nguyễn Văn Phú Thắng"},{"family":"","given":"Nguyễn Thị Ngọc Anh"},{"family":"","given":"Nguyễn Duy Hoàng"},{"family":"","given":"Đinh Hữu Tâm"},{"family":"","given":"Nguyễn Văn Diến"},{"family":"","given":"Vũ Quang Đức"},{"family":"","given":"Đinh Ngọc Minh Anh"},{"family":"","given":"Khổng Thanh Thủy"}],"issued":{"date-parts":[["2022",8,12]]}}}],"schema":"https://github.com/citation-style-language/schema/raw/master/csl-citation.json"} </w:instrText>
      </w:r>
      <w:r w:rsidR="00515335" w:rsidRPr="001A1197">
        <w:rPr>
          <w:sz w:val="22"/>
          <w:szCs w:val="22"/>
        </w:rPr>
        <w:fldChar w:fldCharType="separate"/>
      </w:r>
      <w:r w:rsidR="00515335" w:rsidRPr="001A1197">
        <w:rPr>
          <w:sz w:val="22"/>
          <w:szCs w:val="22"/>
        </w:rPr>
        <w:t>[2]</w:t>
      </w:r>
      <w:r w:rsidR="00515335" w:rsidRPr="001A1197">
        <w:rPr>
          <w:sz w:val="22"/>
          <w:szCs w:val="22"/>
        </w:rPr>
        <w:fldChar w:fldCharType="end"/>
      </w:r>
      <w:r w:rsidR="001D743D" w:rsidRPr="001A1197">
        <w:rPr>
          <w:sz w:val="22"/>
          <w:szCs w:val="22"/>
        </w:rPr>
        <w:t xml:space="preserve">. </w:t>
      </w:r>
      <w:r w:rsidRPr="001A1197">
        <w:rPr>
          <w:sz w:val="22"/>
          <w:szCs w:val="22"/>
        </w:rPr>
        <w:t xml:space="preserve">According to Ozcakar et al. (2010), a study on 390 cancer patients with pleural effusion concluded that in cases of pleural effusion with a history of cancer, bloody effusion is not significant in predicting the malignant nature of the effusion. The proportion of malignant cells found in bloody and non-bloody effusions was equivalent </w:t>
      </w:r>
      <w:r w:rsidR="00515335" w:rsidRPr="001A1197">
        <w:rPr>
          <w:sz w:val="22"/>
          <w:szCs w:val="22"/>
        </w:rPr>
        <w:fldChar w:fldCharType="begin"/>
      </w:r>
      <w:r w:rsidR="00515335" w:rsidRPr="001A1197">
        <w:rPr>
          <w:sz w:val="22"/>
          <w:szCs w:val="22"/>
        </w:rPr>
        <w:instrText xml:space="preserve"> ADDIN ZOTERO_ITEM CSL_CITATION {"citationID":"FgIEBLZ5","properties":{"formattedCitation":"[3]","plainCitation":"[3]","noteIndex":0},"citationItems":[{"id":139,"uris":["http://zotero.org/users/local/CffHrRrr/items/3UWR8B3Z"],"itemData":{"id":139,"type":"article-journal","container-title":"Journal of Cardiothoracic Surgery","page":"1-5","title":"Does pleural fluid appearance really matter? The relationship between fluid appearance and cytology, cell counts, and chemical laboratory measurements in pleural effusions of patients with cancer","volume":"5","author":[{"family":"","given":"Ozcakar, B"},{"family":"Martinez, C. H.","given":""},{"family":"Morice, R. C.","given":""},{"family":"Eapen, G. A.","given":""},{"family":"Ost, D.","given":""},{"family":"Sarkiss, M. G","given":""},{"family":"Jimenez, C. A.","given":""}],"issued":{"date-parts":[["2010"]]}}}],"schema":"https://github.com/citation-style-language/schema/raw/master/csl-citation.json"} </w:instrText>
      </w:r>
      <w:r w:rsidR="00515335" w:rsidRPr="001A1197">
        <w:rPr>
          <w:sz w:val="22"/>
          <w:szCs w:val="22"/>
        </w:rPr>
        <w:fldChar w:fldCharType="separate"/>
      </w:r>
      <w:r w:rsidR="00515335" w:rsidRPr="001A1197">
        <w:rPr>
          <w:sz w:val="22"/>
          <w:szCs w:val="22"/>
        </w:rPr>
        <w:t>[3]</w:t>
      </w:r>
      <w:r w:rsidR="00515335" w:rsidRPr="001A1197">
        <w:rPr>
          <w:sz w:val="22"/>
          <w:szCs w:val="22"/>
        </w:rPr>
        <w:fldChar w:fldCharType="end"/>
      </w:r>
      <w:r w:rsidR="001D743D" w:rsidRPr="001A1197">
        <w:rPr>
          <w:sz w:val="22"/>
          <w:szCs w:val="22"/>
        </w:rPr>
        <w:t xml:space="preserve">. </w:t>
      </w:r>
    </w:p>
    <w:p w14:paraId="33C15685" w14:textId="77777777" w:rsidR="00A16988" w:rsidRPr="001A1197" w:rsidRDefault="00A16988" w:rsidP="00C410BF">
      <w:pPr>
        <w:spacing w:before="0" w:after="0"/>
        <w:rPr>
          <w:sz w:val="22"/>
          <w:szCs w:val="22"/>
        </w:rPr>
      </w:pPr>
      <w:r w:rsidRPr="001A1197">
        <w:rPr>
          <w:sz w:val="22"/>
          <w:szCs w:val="22"/>
        </w:rPr>
        <w:t xml:space="preserve">In our study, the majority of pleural effusion samples received from departments had a volume of &gt;250–500 mL (46.0%), while 12.5% of the samples had a volume of &lt;50 mL. There is still considerable debate regarding the optimal fluid volume required for the best diagnostic results. Determining whether a sample is benign or a false negative can be challenging in cases with low fluid volume. The Ministry of Health has recommended collecting 50–250 mL of fluid to obtain an adequate number of cells for diagnosis. </w:t>
      </w:r>
      <w:r w:rsidR="00515335" w:rsidRPr="001A1197">
        <w:rPr>
          <w:sz w:val="22"/>
          <w:szCs w:val="22"/>
        </w:rPr>
        <w:fldChar w:fldCharType="begin"/>
      </w:r>
      <w:r w:rsidR="00515335" w:rsidRPr="001A1197">
        <w:rPr>
          <w:sz w:val="22"/>
          <w:szCs w:val="22"/>
        </w:rPr>
        <w:instrText xml:space="preserve"> ADDIN ZOTERO_ITEM CSL_CITATION {"citationID":"Uulqf2UP","properties":{"formattedCitation":"[4]","plainCitation":"[4]","noteIndex":0},"citationItems":[{"id":45,"uris":["http://zotero.org/users/local/CffHrRrr/items/MHFYZUXA"],"itemData":{"id":45,"type":"book","event-place":"Hà Nội","number-of-pages":"431-432, 455-456","publisher":"Nhà xuất bản Y học","publisher-place":"Hà Nội","title":"Hướng Dẫn Quy Trình Kỹ Thuật Chuyên Ngành Giải Phẫu Bệnh, Tế Bào Học","author":[{"family":"","given":"Bộ Y tế"}],"issued":{"date-parts":[["2016"]]}}}],"schema":"https://github.com/citation-style-language/schema/raw/master/csl-citation.json"} </w:instrText>
      </w:r>
      <w:r w:rsidR="00515335" w:rsidRPr="001A1197">
        <w:rPr>
          <w:sz w:val="22"/>
          <w:szCs w:val="22"/>
        </w:rPr>
        <w:fldChar w:fldCharType="separate"/>
      </w:r>
      <w:r w:rsidR="00515335" w:rsidRPr="001A1197">
        <w:rPr>
          <w:sz w:val="22"/>
          <w:szCs w:val="22"/>
        </w:rPr>
        <w:t>[4]</w:t>
      </w:r>
      <w:r w:rsidR="00515335" w:rsidRPr="001A1197">
        <w:rPr>
          <w:sz w:val="22"/>
          <w:szCs w:val="22"/>
        </w:rPr>
        <w:fldChar w:fldCharType="end"/>
      </w:r>
      <w:r w:rsidR="001D743D" w:rsidRPr="001A1197">
        <w:rPr>
          <w:sz w:val="22"/>
          <w:szCs w:val="22"/>
        </w:rPr>
        <w:t xml:space="preserve">. </w:t>
      </w:r>
      <w:r w:rsidRPr="001A1197">
        <w:rPr>
          <w:sz w:val="22"/>
          <w:szCs w:val="22"/>
        </w:rPr>
        <w:t>In practice, we have received all pleural effusion samples indicated for the cell block test and observed that the larger the fluid volume, the more cellular sediment is obtained. With more cellular sediment, we have a stronger basis for diagnosis.</w:t>
      </w:r>
    </w:p>
    <w:p w14:paraId="0EAD0A9C" w14:textId="560C182B" w:rsidR="001D743D" w:rsidRPr="001A1197" w:rsidRDefault="00A16988" w:rsidP="00C410BF">
      <w:pPr>
        <w:spacing w:before="0" w:after="0"/>
        <w:rPr>
          <w:sz w:val="22"/>
          <w:szCs w:val="22"/>
        </w:rPr>
      </w:pPr>
      <w:r w:rsidRPr="001A1197">
        <w:rPr>
          <w:sz w:val="22"/>
          <w:szCs w:val="22"/>
        </w:rPr>
        <w:t xml:space="preserve">The cell smear technique was developed in the early 20th century, with the primary goal of facilitating the microscopic observation of cells. However, over time, researchers have recognized that the cell block technique can enhance the detection of malignant cells and provide more detailed information on cellular structures </w:t>
      </w:r>
      <w:r w:rsidR="00515335" w:rsidRPr="001A1197">
        <w:rPr>
          <w:sz w:val="22"/>
          <w:szCs w:val="22"/>
        </w:rPr>
        <w:fldChar w:fldCharType="begin"/>
      </w:r>
      <w:r w:rsidR="001F2B05" w:rsidRPr="001A1197">
        <w:rPr>
          <w:sz w:val="22"/>
          <w:szCs w:val="22"/>
        </w:rPr>
        <w:instrText xml:space="preserve"> ADDIN ZOTERO_ITEM CSL_CITATION {"citationID":"7Ew0pm1k","properties":{"formattedCitation":"[5]","plainCitation":"[5]","noteIndex":0},"citationItems":[{"id":60,"uris":["http://zotero.org/users/local/CffHrRrr/items/M2EQKJU9"],"itemData":{"id":60,"type":"book","abstract":"The most influential and frequently cited pathology classic is now in its Fifth Edition, with thoroughly revised chapters and over 3,000 brand-new full-color illustrations. This two-volume work provides comprehensive, current information on the principles and techniques of cytopathology and the cytologic evaluation of benign and malignant disorders at every anatomic site. This edition provides greatly expanded coverage of the interpretation of aspirated cell samples. Innovations in the practice of cytopathology and data on molecular biology and cytogenetics have been incorporated into the organ system chapters. This edition also has a greater focus on avoiding diagnostic errors. A bound-in image bank DVD is included in this edition.","edition":"5","ISBN":"978-0-7817-1928-5","language":"en","note":"Google-Books-ID: yUvhjjShhpEC","number-of-pages":"912","publisher":"Lippincott Williams &amp; Wilkins","source":"Google Books","title":"Koss' Diagnostic Cytology and Its Histopathologic Bases","author":[{"family":"Koss","given":"Leopold G."},{"family":"Melamed","given":"Myron R."}],"issued":{"date-parts":[["2006"]]}},"label":"page"}],"schema":"https://github.com/citation-style-language/schema/raw/master/csl-citation.json"} </w:instrText>
      </w:r>
      <w:r w:rsidR="00515335" w:rsidRPr="001A1197">
        <w:rPr>
          <w:sz w:val="22"/>
          <w:szCs w:val="22"/>
        </w:rPr>
        <w:fldChar w:fldCharType="separate"/>
      </w:r>
      <w:r w:rsidR="001F2B05" w:rsidRPr="001A1197">
        <w:rPr>
          <w:sz w:val="22"/>
          <w:szCs w:val="22"/>
        </w:rPr>
        <w:t>[5]</w:t>
      </w:r>
      <w:r w:rsidR="00515335" w:rsidRPr="001A1197">
        <w:rPr>
          <w:sz w:val="22"/>
          <w:szCs w:val="22"/>
        </w:rPr>
        <w:fldChar w:fldCharType="end"/>
      </w:r>
      <w:r w:rsidR="001D743D" w:rsidRPr="001A1197">
        <w:rPr>
          <w:sz w:val="22"/>
          <w:szCs w:val="22"/>
        </w:rPr>
        <w:t>.</w:t>
      </w:r>
      <w:r w:rsidR="00F6591E" w:rsidRPr="001A1197">
        <w:rPr>
          <w:sz w:val="22"/>
          <w:szCs w:val="22"/>
        </w:rPr>
        <w:t xml:space="preserve"> </w:t>
      </w:r>
      <w:r w:rsidRPr="001A1197">
        <w:rPr>
          <w:sz w:val="22"/>
          <w:szCs w:val="22"/>
        </w:rPr>
        <w:t xml:space="preserve">This method also facilitates more advanced analyses, such as immunohistochemistry, aiding in the early detection and accurate diagnosis of malignant diseases </w:t>
      </w:r>
      <w:r w:rsidR="00E13811" w:rsidRPr="001A1197">
        <w:rPr>
          <w:sz w:val="22"/>
          <w:szCs w:val="22"/>
        </w:rPr>
        <w:fldChar w:fldCharType="begin"/>
      </w:r>
      <w:r w:rsidR="001F2B05" w:rsidRPr="001A1197">
        <w:rPr>
          <w:sz w:val="22"/>
          <w:szCs w:val="22"/>
        </w:rPr>
        <w:instrText xml:space="preserve"> ADDIN ZOTERO_ITEM CSL_CITATION {"citationID":"NlYc9xun","properties":{"formattedCitation":"[6]","plainCitation":"[6]","noteIndex":0},"citationItems":[{"id":7,"uris":["http://zotero.org/users/local/CffHrRrr/items/X7GE87TH"],"itemData":{"id":7,"type":"article-journal","abstract":"OBJECTIVES: To assess the utility of the cell block preparation method in increasing the sensitivity of cytodiagnosis of serous fluids and to know the primary site of malignant effusions.\nMATERIALS AND METHODS: A total of 190 cases were subjected to routine smear examination as well as cell block preparation. After the cytological diagnosis, each case was objectively analysed for cellularity, arrangement (acini, papillae, cell balls, and proliferation spheres), cytoplasmic, and nuclear details.\nRESULTS: Out of 190 cases, 70 cases were found to be malignant and had been examined in smears and paraffin-embedded cell blocks. Using a combination of the cell block and smear techniques yielded 13% more malignant cases than what were detected using smears by themselves. The combined technique helped to ascertain the primary site of malignancy in 83.3% of the cases, whereas the primary site could not be ascertained in 17.7% of the cases.\nCONCLUSIONS: The cell block technique not only increased the positive results, but also helped to demonstrate better architectural patterns, which could be of great help in making correct diagnosis of the primary site. The cell block technique was also useful for special stains and immunohistochemistry and can give morphological details by preserving the architectural patterns.","container-title":"Journal of Cytology","DOI":"10.4103/0970-9371.55223","ISSN":"0970-9371","issue":"2","journalAbbreviation":"J Cytol","language":"eng","note":"PMID: 21938154\nPMCID: PMC3168020","page":"60-64","source":"PubMed","title":"Critical analysis of cell block versus smear examination in effusions","volume":"26","author":[{"family":"Thapar","given":"Meenu"},{"family":"Mishra","given":"Rajiv K."},{"family":"Sharma","given":"Amit"},{"family":"Goyal","given":"Vikas"},{"family":"Goyal","given":"Vibhuti"}],"issued":{"date-parts":[["2009",4]]}}}],"schema":"https://github.com/citation-style-language/schema/raw/master/csl-citation.json"} </w:instrText>
      </w:r>
      <w:r w:rsidR="00E13811" w:rsidRPr="001A1197">
        <w:rPr>
          <w:sz w:val="22"/>
          <w:szCs w:val="22"/>
        </w:rPr>
        <w:fldChar w:fldCharType="separate"/>
      </w:r>
      <w:r w:rsidR="001F2B05" w:rsidRPr="001A1197">
        <w:rPr>
          <w:sz w:val="22"/>
          <w:szCs w:val="22"/>
        </w:rPr>
        <w:t>[6]</w:t>
      </w:r>
      <w:r w:rsidR="00E13811" w:rsidRPr="001A1197">
        <w:rPr>
          <w:sz w:val="22"/>
          <w:szCs w:val="22"/>
        </w:rPr>
        <w:fldChar w:fldCharType="end"/>
      </w:r>
      <w:r w:rsidR="001D743D" w:rsidRPr="001A1197">
        <w:rPr>
          <w:sz w:val="22"/>
          <w:szCs w:val="22"/>
        </w:rPr>
        <w:t xml:space="preserve">. </w:t>
      </w:r>
      <w:r w:rsidRPr="001A1197">
        <w:rPr>
          <w:sz w:val="22"/>
          <w:szCs w:val="22"/>
        </w:rPr>
        <w:t xml:space="preserve">In our study, 72.2% of the samples were benign, 22.1% were malignant, and 5.7% were suspicious (Table 2). These proportions </w:t>
      </w:r>
      <w:r w:rsidRPr="001A1197">
        <w:rPr>
          <w:sz w:val="22"/>
          <w:szCs w:val="22"/>
        </w:rPr>
        <w:lastRenderedPageBreak/>
        <w:t xml:space="preserve">are consistent with previous studies, which indicate that the majority of cases are diagnosed as benign </w:t>
      </w:r>
      <w:r w:rsidR="00E13811" w:rsidRPr="001A1197">
        <w:rPr>
          <w:sz w:val="22"/>
          <w:szCs w:val="22"/>
        </w:rPr>
        <w:fldChar w:fldCharType="begin"/>
      </w:r>
      <w:r w:rsidR="007B2225" w:rsidRPr="001A1197">
        <w:rPr>
          <w:sz w:val="22"/>
          <w:szCs w:val="22"/>
        </w:rPr>
        <w:instrText xml:space="preserve"> ADDIN ZOTERO_ITEM CSL_CITATION {"citationID":"3rlRCLsg","properties":{"formattedCitation":"[2], [8]","plainCitation":"[2], [8]","dontUpdate":true,"noteIndex":0},"citationItems":[{"id":42,"uris":["http://zotero.org/users/local/CffHrRrr/items/8L7LY3BM"],"itemData":{"id":42,"type":"article-journal","abstract":"Objective: To evaluate the effectiveness of cell block technique in the cytodiagnosis of some body cavity effusions at the 108 Military Central Hospital. Subject and method: A descriptive study on 1402 patients with 1786 times of performing cell block technique at the 108 Military Central Hospital from January 2017 to September 2021. Result and conclusion: The mean age of the patients was 63.3 ± 15.8 years; the ratio of men:women was 2.3:1. Pleural effusion accounted for the majority (75%); yellow fluid was the main color (61.3%); the volume of fluid less than or equal to 250ml accounted for the highest percentage (65.7%). The cytodiagnosis showed that the number of benign cases accounted for a high rate of 70.5%, the rate of malignancy and suspected malignancy accounted for 27.7%. The cell block technique was highly effective in the cytodiagnosis of some body cavity effusions with the success rate of 98.2%. The majority of cases that did not form a cell block were pleural fluid (78.1%), yellow (62.5%) and volume less than 50ml was 53.1%.","container-title":"Journal of 108 - Clinical Medicine and Phamarcy","DOI":"10.52389/ydls.v17iDB8.1316","ISSN":"1859-2872","issue":"8","language":"vi","license":"Copyright (c)","page":"156-162","source":"tcydls108.benhvien108.vn","title":"Efficacy of cell block technique in the cytodiagnosis of some body cavityeffusions at the 108 Military Central Hospital","volume":"17","author":[{"family":"","given":"Nguyen Quang Thi"},{"family":"","given":"Nguyễn Thị Ngọc Ánh"},{"family":"","given":"Nguyễn Văn Phú Thắng"},{"family":"","given":"Nguyễn Thị Ngọc Anh"},{"family":"","given":"Nguyễn Duy Hoàng"},{"family":"","given":"Đinh Hữu Tâm"},{"family":"","given":"Nguyễn Văn Diến"},{"family":"","given":"Vũ Quang Đức"},{"family":"","given":"Đinh Ngọc Minh Anh"},{"family":"","given":"Khổng Thanh Thủy"}],"issued":{"date-parts":[["2022",8,12]]}},"label":"page"},{"id":118,"uris":["http://zotero.org/users/local/CffHrRrr/items/FXLUPHLD"],"itemData":{"id":118,"type":"article-journal","abstract":"BACKGROUND: Cytological smear and cell block are commonly used to diagnose pleural fluid effusion. However, there is a paucity of information in the literature where a comparison between a cytological smear and a cell block with corresponding pleural biopsy has been done. This study aimed to evaluate the accuracy of cytological smears, cell blocks, and pleural biopsy for the diagnosis of malignant tumors.\nMATERIAL AND METHODS: In this cross-sectional study, analysis of successive pleural fluid samples received by the department was done. The sample was divided into equal halves of 5 ml each. One was used for conventional smear and the second was used for the preparation of cell block. The cell block was prepared by centrifuging the specimen of fluid at 2500 rpm for 15 min. A pleural biopsy was obtained by using Cope's pleural biopsy needle.\nRESULTS: A total of n = 50 cases were included in the study. A total of n = 8 cases were diagnosed as malignant by cell smear and n = 4 cases were suspicious for malignancy. By cell block, n = 10 cases of malignancy were diagnosed and n = 1 case was suspicious for malignancy. By biopsy, n = 11 cases were diagnosed as malignant and n = 1 case was suspicious for malignancy. Out of the total, n = 2 cases were diagnosed as squamous cell carcinoma by biopsy; one case was diagnosed by cell block; and the other was reported as suspicious for malignancy.\nCONCLUSION: The study shows that cell blocks are complementary to the cell smear technique in over diagnosis and categorization of benign as well as malignant cells. The cell blocks were more useful in the diagnosis of malignancy because of better preserved architectural patterns as seen in corresponding histopathology sections. It, therefore, appears that the cell blocks are a perfect fit to bridge the cytology and histopathology.","container-title":"Journal of Cytology","DOI":"10.4103/joc.joc_91_21","ISSN":"0970-9371","issue":"4","journalAbbreviation":"J Cytol","language":"eng","note":"PMID: 36605871\nPMCID: PMC9809426","page":"169-173","source":"PubMed","title":"Diagnosis of Pleural Fluid Effusions by Cell Block and Pleural Biopsy - A Comparative Study","volume":"39","author":[{"family":"Rani","given":"S. S. Sabitha"},{"family":"Vamshidhar","given":"Immadi Sudhakar"},{"family":"John","given":"Nitin Ashok"},{"family":"John","given":"Jyoti"}],"issued":{"date-parts":[["2022"]]}},"label":"page"}],"schema":"https://github.com/citation-style-language/schema/raw/master/csl-citation.json"} </w:instrText>
      </w:r>
      <w:r w:rsidR="00E13811" w:rsidRPr="001A1197">
        <w:rPr>
          <w:sz w:val="22"/>
          <w:szCs w:val="22"/>
        </w:rPr>
        <w:fldChar w:fldCharType="separate"/>
      </w:r>
      <w:r w:rsidR="00E13811" w:rsidRPr="001A1197">
        <w:rPr>
          <w:sz w:val="22"/>
          <w:szCs w:val="22"/>
        </w:rPr>
        <w:t>[2],</w:t>
      </w:r>
      <w:r w:rsidR="001F2B05" w:rsidRPr="001A1197">
        <w:rPr>
          <w:sz w:val="22"/>
          <w:szCs w:val="22"/>
        </w:rPr>
        <w:t xml:space="preserve"> </w:t>
      </w:r>
      <w:r w:rsidR="001F2B05" w:rsidRPr="001A1197">
        <w:rPr>
          <w:sz w:val="22"/>
          <w:szCs w:val="22"/>
        </w:rPr>
        <w:fldChar w:fldCharType="begin"/>
      </w:r>
      <w:r w:rsidR="001F2B05" w:rsidRPr="001A1197">
        <w:rPr>
          <w:sz w:val="22"/>
          <w:szCs w:val="22"/>
        </w:rPr>
        <w:instrText xml:space="preserve"> ADDIN ZOTERO_ITEM CSL_CITATION {"citationID":"shwbQ2tP","properties":{"formattedCitation":"[7], [8], [9]","plainCitation":"[7], [8], [9]","noteIndex":0},"citationItems":[{"id":118,"uris":["http://zotero.org/users/local/CffHrRrr/items/FXLUPHLD"],"itemData":{"id":118,"type":"article-journal","abstract":"BACKGROUND: Cytological smear and cell block are commonly used to diagnose pleural fluid effusion. However, there is a paucity of information in the literature where a comparison between a cytological smear and a cell block with corresponding pleural biopsy has been done. This study aimed to evaluate the accuracy of cytological smears, cell blocks, and pleural biopsy for the diagnosis of malignant tumors.\nMATERIAL AND METHODS: In this cross-sectional study, analysis of successive pleural fluid samples received by the department was done. The sample was divided into equal halves of 5 ml each. One was used for conventional smear and the second was used for the preparation of cell block. The cell block was prepared by centrifuging the specimen of fluid at 2500 rpm for 15 min. A pleural biopsy was obtained by using Cope's pleural biopsy needle.\nRESULTS: A total of n = 50 cases were included in the study. A total of n = 8 cases were diagnosed as malignant by cell smear and n = 4 cases were suspicious for malignancy. By cell block, n = 10 cases of malignancy were diagnosed and n = 1 case was suspicious for malignancy. By biopsy, n = 11 cases were diagnosed as malignant and n = 1 case was suspicious for malignancy. Out of the total, n = 2 cases were diagnosed as squamous cell carcinoma by biopsy; one case was diagnosed by cell block; and the other was reported as suspicious for malignancy.\nCONCLUSION: The study shows that cell blocks are complementary to the cell smear technique in over diagnosis and categorization of benign as well as malignant cells. The cell blocks were more useful in the diagnosis of malignancy because of better preserved architectural patterns as seen in corresponding histopathology sections. It, therefore, appears that the cell blocks are a perfect fit to bridge the cytology and histopathology.","container-title":"Journal of Cytology","DOI":"10.4103/joc.joc_91_21","ISSN":"0970-9371","issue":"4","journalAbbreviation":"J Cytol","language":"eng","note":"PMID: 36605871\nPMCID: PMC9809426","page":"169-173","source":"PubMed","title":"Diagnosis of Pleural Fluid Effusions by Cell Block and Pleural Biopsy - A Comparative Study","volume":"39","author":[{"family":"Rani","given":"S. S. Sabitha"},{"family":"Vamshidhar","given":"Immadi Sudhakar"},{"family":"John","given":"Nitin Ashok"},{"family":"John","given":"Jyoti"}],"issued":{"date-parts":[["2022"]]}},"label":"page"},{"id":109,"uris":["http://zotero.org/users/local/CffHrRrr/items/68HANSD8"],"itemData":{"id":109,"type":"article-journal","abstract":"Background.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label":"page"},{"id":121,"uris":["http://zotero.org/users/local/CffHrRrr/items/DV44WVVP"],"itemData":{"id":121,"type":"article-journal","abstract":"Background: The investigation of serous effusions has an important place in cytopathology because it has diagnostic and prognostic value. The proper identification of the primary tumor with staging and grading has therapeutic and prognostic implications. In the current study, we evaluated the efficacy of two techniques for the diagnosis of malignant serous effusions. Methods: Fresh samples of pleural, peritoneal, and pericardial fluids were evaluated for the present study. Ten milliliters of fluid were divided into two equal parts of 5 mL each, of which one was kept for conventional cytology and the other was used for the preparation of cell block. Results: The evaluation of cell smear and cell block techniques showed predominantly moderate cellularity. Both in pleural and peritoneal fluids, cellularity was higher when using the cell block method as compared to the conventional smear method. Architectural patterns, including sheets, cell balls, papillae, glands, and three-dimensional clusters, were better appreciated in cell block than conventional smears. By using the cell block method, five additional cases were detected as malignant, which meant 6.66% more diagnostic yield for malignancy as compared to the cell smear technique. Conclusion: This study revealed the importance of cell block preparation for supplementation of conventional smear technique. The same fluid extracted for the preparation of smear could be utilized to concurrently prepare cell blocks. The cell block technique provides additional diagnostic features and can help in further investigation by IHC studies for tumor staging and grading.","container-title":"Maedica","DOI":"10.26574/maedica.2020.16.1.16","ISSN":"1841-9038","issue":"1","journalAbbreviation":"Maedica (Bucur)","language":"eng","note":"PMID: 34221151\nPMCID: PMC8224726","page":"16-21","source":"PubMed","title":"Efficacy of Cell Block Technique in the Cytodiagnosis of Malignant Serous Effusions","volume":"16","author":[{"family":"Rani","given":"S. S. Sabitha"},{"family":"Vamshidhar","given":"I. S."}],"issued":{"date-parts":[["2021",3]]}},"label":"page"}],"schema":"https://github.com/citation-style-language/schema/raw/master/csl-citation.json"} </w:instrText>
      </w:r>
      <w:r w:rsidR="001F2B05" w:rsidRPr="001A1197">
        <w:rPr>
          <w:sz w:val="22"/>
          <w:szCs w:val="22"/>
        </w:rPr>
        <w:fldChar w:fldCharType="separate"/>
      </w:r>
      <w:r w:rsidR="001F2B05" w:rsidRPr="001A1197">
        <w:rPr>
          <w:sz w:val="22"/>
          <w:szCs w:val="22"/>
        </w:rPr>
        <w:t>[7], [8], [9]</w:t>
      </w:r>
      <w:r w:rsidR="001F2B05" w:rsidRPr="001A1197">
        <w:rPr>
          <w:sz w:val="22"/>
          <w:szCs w:val="22"/>
        </w:rPr>
        <w:fldChar w:fldCharType="end"/>
      </w:r>
      <w:r w:rsidR="001F2B05" w:rsidRPr="001A1197">
        <w:rPr>
          <w:sz w:val="22"/>
          <w:szCs w:val="22"/>
        </w:rPr>
        <w:t>.</w:t>
      </w:r>
      <w:r w:rsidR="00E13811" w:rsidRPr="001A1197">
        <w:rPr>
          <w:sz w:val="22"/>
          <w:szCs w:val="22"/>
        </w:rPr>
        <w:fldChar w:fldCharType="end"/>
      </w:r>
      <w:r w:rsidR="005A460A" w:rsidRPr="001A1197">
        <w:rPr>
          <w:sz w:val="22"/>
          <w:szCs w:val="22"/>
        </w:rPr>
        <w:t xml:space="preserve"> </w:t>
      </w:r>
      <w:r w:rsidRPr="001A1197">
        <w:rPr>
          <w:sz w:val="22"/>
          <w:szCs w:val="22"/>
        </w:rPr>
        <w:t xml:space="preserve">According to Table 2, the concordance rate between cell smear and cell block results was 79.6%, while the discrepancy rate was 20.4%. The detection rates of malignancy and suspicious cases were higher with the cell block technique compared to the cell smear technique (22.1% and 5.7% vs. 7.4% and 2.3%, respectively). This difference was statistically significant with p&lt;0.05. Our results are also consistent with other studies worldwide </w:t>
      </w:r>
      <w:r w:rsidR="00E13811" w:rsidRPr="001A1197">
        <w:rPr>
          <w:sz w:val="22"/>
          <w:szCs w:val="22"/>
        </w:rPr>
        <w:fldChar w:fldCharType="begin"/>
      </w:r>
      <w:r w:rsidR="00831C71" w:rsidRPr="001A1197">
        <w:rPr>
          <w:sz w:val="22"/>
          <w:szCs w:val="22"/>
        </w:rPr>
        <w:instrText xml:space="preserve"> ADDIN ZOTERO_ITEM CSL_CITATION {"citationID":"qeiimgCd","properties":{"formattedCitation":"[7], [8], [9]","plainCitation":"[7], [8], [9]","noteIndex":0},"citationItems":[{"id":118,"uris":["http://zotero.org/users/local/CffHrRrr/items/FXLUPHLD"],"itemData":{"id":118,"type":"article-journal","abstract":"BACKGROUND: Cytological smear and cell block are commonly used to diagnose pleural fluid effusion. However, there is a paucity of information in the literature where a comparison between a cytological smear and a cell block with corresponding pleural biopsy has been done. This study aimed to evaluate the accuracy of cytological smears, cell blocks, and pleural biopsy for the diagnosis of malignant tumors.\nMATERIAL AND METHODS: In this cross-sectional study, analysis of successive pleural fluid samples received by the department was done. The sample was divided into equal halves of 5 ml each. One was used for conventional smear and the second was used for the preparation of cell block. The cell block was prepared by centrifuging the specimen of fluid at 2500 rpm for 15 min. A pleural biopsy was obtained by using Cope's pleural biopsy needle.\nRESULTS: A total of n = 50 cases were included in the study. A total of n = 8 cases were diagnosed as malignant by cell smear and n = 4 cases were suspicious for malignancy. By cell block, n = 10 cases of malignancy were diagnosed and n = 1 case was suspicious for malignancy. By biopsy, n = 11 cases were diagnosed as malignant and n = 1 case was suspicious for malignancy. Out of the total, n = 2 cases were diagnosed as squamous cell carcinoma by biopsy; one case was diagnosed by cell block; and the other was reported as suspicious for malignancy.\nCONCLUSION: The study shows that cell blocks are complementary to the cell smear technique in over diagnosis and categorization of benign as well as malignant cells. The cell blocks were more useful in the diagnosis of malignancy because of better preserved architectural patterns as seen in corresponding histopathology sections. It, therefore, appears that the cell blocks are a perfect fit to bridge the cytology and histopathology.","container-title":"Journal of Cytology","DOI":"10.4103/joc.joc_91_21","ISSN":"0970-9371","issue":"4","journalAbbreviation":"J Cytol","language":"eng","note":"PMID: 36605871\nPMCID: PMC9809426","page":"169-173","source":"PubMed","title":"Diagnosis of Pleural Fluid Effusions by Cell Block and Pleural Biopsy - A Comparative Study","volume":"39","author":[{"family":"Rani","given":"S. S. Sabitha"},{"family":"Vamshidhar","given":"Immadi Sudhakar"},{"family":"John","given":"Nitin Ashok"},{"family":"John","given":"Jyoti"}],"issued":{"date-parts":[["2022"]]}},"label":"page"},{"id":109,"uris":["http://zotero.org/users/local/CffHrRrr/items/68HANSD8"],"itemData":{"id":109,"type":"article-journal","abstract":"Background.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label":"page"},{"id":121,"uris":["http://zotero.org/users/local/CffHrRrr/items/DV44WVVP"],"itemData":{"id":121,"type":"article-journal","abstract":"Background: The investigation of serous effusions has an important place in cytopathology because it has diagnostic and prognostic value. The proper identification of the primary tumor with staging and grading has therapeutic and prognostic implications. In the current study, we evaluated the efficacy of two techniques for the diagnosis of malignant serous effusions. Methods: Fresh samples of pleural, peritoneal, and pericardial fluids were evaluated for the present study. Ten milliliters of fluid were divided into two equal parts of 5 mL each, of which one was kept for conventional cytology and the other was used for the preparation of cell block. Results: The evaluation of cell smear and cell block techniques showed predominantly moderate cellularity. Both in pleural and peritoneal fluids, cellularity was higher when using the cell block method as compared to the conventional smear method. Architectural patterns, including sheets, cell balls, papillae, glands, and three-dimensional clusters, were better appreciated in cell block than conventional smears. By using the cell block method, five additional cases were detected as malignant, which meant 6.66% more diagnostic yield for malignancy as compared to the cell smear technique. Conclusion: This study revealed the importance of cell block preparation for supplementation of conventional smear technique. The same fluid extracted for the preparation of smear could be utilized to concurrently prepare cell blocks. The cell block technique provides additional diagnostic features and can help in further investigation by IHC studies for tumor staging and grading.","container-title":"Maedica","DOI":"10.26574/maedica.2020.16.1.16","ISSN":"1841-9038","issue":"1","journalAbbreviation":"Maedica (Bucur)","language":"eng","note":"PMID: 34221151\nPMCID: PMC8224726","page":"16-21","source":"PubMed","title":"Efficacy of Cell Block Technique in the Cytodiagnosis of Malignant Serous Effusions","volume":"16","author":[{"family":"Rani","given":"S. S. Sabitha"},{"family":"Vamshidhar","given":"I. S."}],"issued":{"date-parts":[["2021",3]]}},"label":"page"}],"schema":"https://github.com/citation-style-language/schema/raw/master/csl-citation.json"} </w:instrText>
      </w:r>
      <w:r w:rsidR="00E13811" w:rsidRPr="001A1197">
        <w:rPr>
          <w:sz w:val="22"/>
          <w:szCs w:val="22"/>
        </w:rPr>
        <w:fldChar w:fldCharType="separate"/>
      </w:r>
      <w:r w:rsidR="001F2B05" w:rsidRPr="001A1197">
        <w:rPr>
          <w:sz w:val="22"/>
          <w:szCs w:val="22"/>
        </w:rPr>
        <w:t>[7], [8], [9]</w:t>
      </w:r>
      <w:r w:rsidR="00E13811" w:rsidRPr="001A1197">
        <w:rPr>
          <w:sz w:val="22"/>
          <w:szCs w:val="22"/>
        </w:rPr>
        <w:fldChar w:fldCharType="end"/>
      </w:r>
      <w:r w:rsidR="00F6591E" w:rsidRPr="001A1197">
        <w:rPr>
          <w:sz w:val="22"/>
          <w:szCs w:val="22"/>
        </w:rPr>
        <w:t xml:space="preserve">. </w:t>
      </w:r>
      <w:r w:rsidRPr="001A1197">
        <w:rPr>
          <w:sz w:val="22"/>
          <w:szCs w:val="22"/>
        </w:rPr>
        <w:t xml:space="preserve">According to S.H. Kumar et al. (2020), the highest diagnostic concordance between the cell block and cell smear techniques was observed in synovial fluid (4/4, 100%) and pericardial fluid (1/1, 100%), followed by pleural fluid (38/40, 95%) and peritoneal fluid (33/39, 84.6%). The sensitivity and specificity of the cell smear technique compared to the cell block technique in effusion diagnosis were 86% and 100%, respectively </w:t>
      </w:r>
      <w:r w:rsidR="00B97B0C" w:rsidRPr="001A1197">
        <w:rPr>
          <w:sz w:val="22"/>
          <w:szCs w:val="22"/>
        </w:rPr>
        <w:fldChar w:fldCharType="begin"/>
      </w:r>
      <w:r w:rsidR="00B97B0C" w:rsidRPr="001A1197">
        <w:rPr>
          <w:sz w:val="22"/>
          <w:szCs w:val="22"/>
        </w:rPr>
        <w:instrText xml:space="preserve"> ADDIN ZOTERO_ITEM CSL_CITATION {"citationID":"V5ZMEh2F","properties":{"formattedCitation":"[8]","plainCitation":"[8]","noteIndex":0},"citationItems":[{"id":109,"uris":["http://zotero.org/users/local/CffHrRrr/items/68HANSD8"],"itemData":{"id":109,"type":"article-journal","abstract":"Background.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HEMANTH"},{"family":"S","given":"SUDHAMANI"},{"family":"SHETTY","given":"DIVYA"},{"family":"RAO","given":"RAJIV"}],"issued":{"date-parts":[["2020"]]}}}],"schema":"https://github.com/citation-style-language/schema/raw/master/csl-citation.json"} </w:instrText>
      </w:r>
      <w:r w:rsidR="00B97B0C" w:rsidRPr="001A1197">
        <w:rPr>
          <w:sz w:val="22"/>
          <w:szCs w:val="22"/>
        </w:rPr>
        <w:fldChar w:fldCharType="separate"/>
      </w:r>
      <w:r w:rsidR="00B97B0C" w:rsidRPr="001A1197">
        <w:rPr>
          <w:sz w:val="22"/>
          <w:szCs w:val="22"/>
        </w:rPr>
        <w:t>[8]</w:t>
      </w:r>
      <w:r w:rsidR="00B97B0C" w:rsidRPr="001A1197">
        <w:rPr>
          <w:sz w:val="22"/>
          <w:szCs w:val="22"/>
        </w:rPr>
        <w:fldChar w:fldCharType="end"/>
      </w:r>
      <w:r w:rsidR="00F6591E" w:rsidRPr="001A1197">
        <w:rPr>
          <w:sz w:val="22"/>
          <w:szCs w:val="22"/>
        </w:rPr>
        <w:t>.</w:t>
      </w:r>
      <w:r w:rsidR="002F010C" w:rsidRPr="001A1197">
        <w:rPr>
          <w:sz w:val="22"/>
          <w:szCs w:val="22"/>
        </w:rPr>
        <w:t xml:space="preserve"> </w:t>
      </w:r>
      <w:r w:rsidRPr="001A1197">
        <w:rPr>
          <w:sz w:val="22"/>
          <w:szCs w:val="22"/>
        </w:rPr>
        <w:t>According to S. S. Sabitha Rani et al. (2021), the lower malignancy detection rate of the cell smear technique compared to the cell block technique is due to the dispersed nature of cells in cell smears, with cellular morphology being obscured by a background of red blood cells, numerous inflammatory cells, necrotic debris, and reactive mesothelial cells. The cell block technique enhances the effectiveness of malignancy diagnosis by 6.66% compared to the cell smear technique</w:t>
      </w:r>
      <w:r w:rsidR="00E440AB" w:rsidRPr="001A1197">
        <w:rPr>
          <w:sz w:val="22"/>
          <w:szCs w:val="22"/>
        </w:rPr>
        <w:t xml:space="preserve"> </w:t>
      </w:r>
      <w:r w:rsidR="00E13811" w:rsidRPr="001A1197">
        <w:rPr>
          <w:sz w:val="22"/>
          <w:szCs w:val="22"/>
        </w:rPr>
        <w:fldChar w:fldCharType="begin"/>
      </w:r>
      <w:r w:rsidR="001F2B05" w:rsidRPr="001A1197">
        <w:rPr>
          <w:sz w:val="22"/>
          <w:szCs w:val="22"/>
        </w:rPr>
        <w:instrText xml:space="preserve"> ADDIN ZOTERO_ITEM CSL_CITATION {"citationID":"KPneNKYv","properties":{"formattedCitation":"[9]","plainCitation":"[9]","noteIndex":0},"citationItems":[{"id":121,"uris":["http://zotero.org/users/local/CffHrRrr/items/DV44WVVP"],"itemData":{"id":121,"type":"article-journal","abstract":"Background: The investigation of serous effusions has an important place in cytopathology because it has diagnostic and prognostic value. The proper identification of the primary tumor with staging and grading has therapeutic and prognostic implications. In the current study, we evaluated the efficacy of two techniques for the diagnosis of malignant serous effusions. Methods: Fresh samples of pleural, peritoneal, and pericardial fluids were evaluated for the present study. Ten milliliters of fluid were divided into two equal parts of 5 mL each, of which one was kept for conventional cytology and the other was used for the preparation of cell block. Results: The evaluation of cell smear and cell block techniques showed predominantly moderate cellularity. Both in pleural and peritoneal fluids, cellularity was higher when using the cell block method as compared to the conventional smear method. Architectural patterns, including sheets, cell balls, papillae, glands, and three-dimensional clusters, were better appreciated in cell block than conventional smears. By using the cell block method, five additional cases were detected as malignant, which meant 6.66% more diagnostic yield for malignancy as compared to the cell smear technique. Conclusion: This study revealed the importance of cell block preparation for supplementation of conventional smear technique. The same fluid extracted for the preparation of smear could be utilized to concurrently prepare cell blocks. The cell block technique provides additional diagnostic features and can help in further investigation by IHC studies for tumor staging and grading.","container-title":"Maedica","DOI":"10.26574/maedica.2020.16.1.16","ISSN":"1841-9038","issue":"1","journalAbbreviation":"Maedica (Bucur)","language":"eng","note":"PMID: 34221151\nPMCID: PMC8224726","page":"16-21","source":"PubMed","title":"Efficacy of Cell Block Technique in the Cytodiagnosis of Malignant Serous Effusions","volume":"16","author":[{"family":"Rani","given":"S. S. Sabitha"},{"family":"Vamshidhar","given":"I. S."}],"issued":{"date-parts":[["2021",3]]}}}],"schema":"https://github.com/citation-style-language/schema/raw/master/csl-citation.json"} </w:instrText>
      </w:r>
      <w:r w:rsidR="00E13811" w:rsidRPr="001A1197">
        <w:rPr>
          <w:sz w:val="22"/>
          <w:szCs w:val="22"/>
        </w:rPr>
        <w:fldChar w:fldCharType="separate"/>
      </w:r>
      <w:r w:rsidR="001F2B05" w:rsidRPr="001A1197">
        <w:rPr>
          <w:sz w:val="22"/>
          <w:szCs w:val="22"/>
        </w:rPr>
        <w:t>[9]</w:t>
      </w:r>
      <w:r w:rsidR="00E13811" w:rsidRPr="001A1197">
        <w:rPr>
          <w:sz w:val="22"/>
          <w:szCs w:val="22"/>
        </w:rPr>
        <w:fldChar w:fldCharType="end"/>
      </w:r>
      <w:r w:rsidR="00F6591E" w:rsidRPr="001A1197">
        <w:rPr>
          <w:sz w:val="22"/>
          <w:szCs w:val="22"/>
        </w:rPr>
        <w:t>.</w:t>
      </w:r>
    </w:p>
    <w:p w14:paraId="11D9F9A6" w14:textId="6FE09BDD" w:rsidR="001D743D" w:rsidRPr="001A1197" w:rsidRDefault="00A16988" w:rsidP="00C410BF">
      <w:pPr>
        <w:spacing w:before="0" w:after="0"/>
        <w:rPr>
          <w:sz w:val="22"/>
          <w:szCs w:val="22"/>
        </w:rPr>
      </w:pPr>
      <w:r w:rsidRPr="001A1197">
        <w:rPr>
          <w:sz w:val="22"/>
          <w:szCs w:val="22"/>
        </w:rPr>
        <w:t xml:space="preserve">Our study results showed a statistically significant association between gender and fluid volume with the cell block test results for pleural effusion (p&lt;0.05). The study found that the malignancy diagnosis rate was higher in females than in males, and the malignancy rate was higher in the &gt;500 mL group compared to other groups. There was no statistically significant association between age group and fluid color with the cell block test results (Table 3). According to several studies, malignant pleural effusion is commonly associated with lung cancer and breast cancer </w:t>
      </w:r>
      <w:r w:rsidR="004309D7" w:rsidRPr="001A1197">
        <w:rPr>
          <w:sz w:val="22"/>
          <w:szCs w:val="22"/>
        </w:rPr>
        <w:fldChar w:fldCharType="begin"/>
      </w:r>
      <w:r w:rsidR="004309D7" w:rsidRPr="001A1197">
        <w:rPr>
          <w:sz w:val="22"/>
          <w:szCs w:val="22"/>
        </w:rPr>
        <w:instrText xml:space="preserve"> ADDIN ZOTERO_ITEM CSL_CITATION {"citationID":"PRAbetjm","properties":{"formattedCitation":"[8], [10]","plainCitation":"[8], [10]","noteIndex":0},"citationItems":[{"id":109,"uris":["http://zotero.org/users/local/CffHrRrr/items/68HANSD8"],"itemData":{"id":109,"type":"article-journal","abstract":"Background.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label":"page"},{"id":56,"uris":["http://zotero.org/users/local/CffHrRrr/items/ZAQDHWQP"],"itemData":{"id":56,"type":"article-journal","abstract":"Background:\nThe cytological examinations of serous effusions have been well-accepted, and a positive diagnosis is often considered as a definitive diagnosis. It helps in staging, prognosis and management of the patients in malignancies and also gives information about various inflammatory and non-inflammatory lesions. Diagnostic problems arise in everyday practice to differentiate reactive atypical mesothelial cells and malignant cells by the routine conventional smear (CS) method.\n\nAims:\nTo compare the morphological features of the CS method with those of the cell block (CB) method and also to assess the utility and sensitivity of the CB method in the cytodiagnosis of pleural effusions.\n\nMaterials and Methods:\nThe study was conducted in the cytology section of the Department of Pathology. Sixty pleural fluid samples were subjected to diagnostic evaluation for over a period of 20 months. Along with the conventional smears, cell blocks were prepared by using 10% alcohol–formalin as a fixative agent. Statistical analysis with the ‘z test’ was performed to identify the cellularity, using the CS and CB methods. Mc. Naemer's χ2test was used to identify the additional yield for malignancy by the CB method.\n\nResults:\nCellularity and additional yield for malignancy was 15% more by the CB method.\n\nConclusions:\nThe CB method provides high cellularity, better architectural patterns, morphological features and an additional yield of malignant cells, and thereby, increases the sensitivity of the cytodiagnosis when compared with the CS method.","container-title":"Journal of Cytology / Indian Academy of Cytologists","DOI":"10.4103/0970-9371.93210","ISSN":"0970-9371","issue":"1","journalAbbreviation":"J Cytol","note":"PMID: 22438610\nPMCID: PMC3307444","page":"11-15","source":"PubMed Central","title":"Diagnostic utility of the cell block method versus the conventional smear study in pleural fluid cytology","volume":"29","author":[{"family":"Shivakumarswamy","given":"Udasimath"},{"family":"Arakeri","given":"Surekha U"},{"family":"Karigowdar","given":"Mahesh H"},{"family":"Yelikar","given":"BR"}],"issued":{"date-parts":[["2012"]]}},"label":"page"}],"schema":"https://github.com/citation-style-language/schema/raw/master/csl-citation.json"} </w:instrText>
      </w:r>
      <w:r w:rsidR="004309D7" w:rsidRPr="001A1197">
        <w:rPr>
          <w:sz w:val="22"/>
          <w:szCs w:val="22"/>
        </w:rPr>
        <w:fldChar w:fldCharType="separate"/>
      </w:r>
      <w:r w:rsidR="004309D7" w:rsidRPr="001A1197">
        <w:rPr>
          <w:sz w:val="22"/>
          <w:szCs w:val="22"/>
        </w:rPr>
        <w:t>[8], [10]</w:t>
      </w:r>
      <w:r w:rsidR="004309D7" w:rsidRPr="001A1197">
        <w:rPr>
          <w:sz w:val="22"/>
          <w:szCs w:val="22"/>
        </w:rPr>
        <w:fldChar w:fldCharType="end"/>
      </w:r>
      <w:r w:rsidR="001D743D" w:rsidRPr="001A1197">
        <w:rPr>
          <w:sz w:val="22"/>
          <w:szCs w:val="22"/>
        </w:rPr>
        <w:t xml:space="preserve">. </w:t>
      </w:r>
      <w:r w:rsidRPr="001A1197">
        <w:rPr>
          <w:sz w:val="22"/>
          <w:szCs w:val="22"/>
        </w:rPr>
        <w:t xml:space="preserve">Breast cancer occurs more frequently in females than in males because the ovaries in females produce higher levels of estrogen and progesterone. These hormones play a crucial role in the development of breast glandular tissue and cell division. Their continuous presence throughout the menstrual cycle can stimulate abnormal cell growth, increasing the risk of cancer </w:t>
      </w:r>
      <w:r w:rsidR="00334CD5" w:rsidRPr="001A1197">
        <w:rPr>
          <w:sz w:val="22"/>
          <w:szCs w:val="22"/>
        </w:rPr>
        <w:fldChar w:fldCharType="begin"/>
      </w:r>
      <w:r w:rsidR="004309D7" w:rsidRPr="001A1197">
        <w:rPr>
          <w:sz w:val="22"/>
          <w:szCs w:val="22"/>
        </w:rPr>
        <w:instrText xml:space="preserve"> ADDIN ZOTERO_ITEM CSL_CITATION {"citationID":"5iIUFTtX","properties":{"formattedCitation":"[11]","plainCitation":"[11]","noteIndex":0},"citationItems":[{"id":178,"uris":["http://zotero.org/users/local/CffHrRrr/items/TA83YJ5Q"],"itemData":{"id":178,"type":"article-journal","abstract":"&lt;p&gt;Fluctuations in circulating estrogen and progesterone across the menstrual cycle lead to increased breast cancer susceptibility in women; however, the biological basis for this increased risk is not well understood. Estrogen and progesterone have important roles in normal mammary gland development, where they direct dynamic interactions among the hormonally regulated mammary epithelial, stromal, and immune cell compartments. The continuous fluctuations of estrogen and progesterone over a woman’s reproductive lifetime affect the turnover of mammary epithelium, stem cells, and the extracellular matrix, as well as regulate the phenotype and function of mammary stromal and immune cells, including macrophages and regulatory T cells. Collectively, these events may result in genome instability, increase the chance of random genetic mutations, dampen immune surveillance, and promote tolerance in the mammary gland, and thereby increase the risk of breast cancer initiation. This article reviews the current status of our understanding of the molecular and the cellular changes that occur in the mammary gland across the menstrual cycle and how continuous menstrual cycling may increase breast cancer susceptibility in women.&lt;/p&gt;","container-title":"Frontiers in Oncology","DOI":"10.3389/fonc.2016.00267","ISSN":"2234-943X","journalAbbreviation":"Front. Oncol.","language":"English","note":"publisher: Frontiers","source":"Frontiers","title":"Dissecting the Biology of Menstrual Cycle-Associated Breast Cancer Risk","URL":"https://www.frontiersin.org/journals/oncology/articles/10.3389/fonc.2016.00267/full","volume":"6","author":[{"family":"Atashgaran","given":"Vahid"},{"family":"Wrin","given":"Joseph"},{"family":"Barry","given":"Simon Charles"},{"family":"Dasari","given":"Pallave"},{"family":"Ingman","given":"Wendy V."}],"accessed":{"date-parts":[["2024",10,16]]},"issued":{"date-parts":[["2016",12,26]]}}}],"schema":"https://github.com/citation-style-language/schema/raw/master/csl-citation.json"} </w:instrText>
      </w:r>
      <w:r w:rsidR="00334CD5" w:rsidRPr="001A1197">
        <w:rPr>
          <w:sz w:val="22"/>
          <w:szCs w:val="22"/>
        </w:rPr>
        <w:fldChar w:fldCharType="separate"/>
      </w:r>
      <w:r w:rsidR="004309D7" w:rsidRPr="001A1197">
        <w:rPr>
          <w:sz w:val="22"/>
          <w:szCs w:val="22"/>
        </w:rPr>
        <w:t>[11]</w:t>
      </w:r>
      <w:r w:rsidR="00334CD5" w:rsidRPr="001A1197">
        <w:rPr>
          <w:sz w:val="22"/>
          <w:szCs w:val="22"/>
        </w:rPr>
        <w:fldChar w:fldCharType="end"/>
      </w:r>
      <w:r w:rsidR="001D743D" w:rsidRPr="001A1197">
        <w:rPr>
          <w:sz w:val="22"/>
          <w:szCs w:val="22"/>
        </w:rPr>
        <w:t xml:space="preserve">. </w:t>
      </w:r>
    </w:p>
    <w:p w14:paraId="197E7D91" w14:textId="77777777" w:rsidR="00A16988" w:rsidRPr="001A1197" w:rsidRDefault="00A16988" w:rsidP="00C410BF">
      <w:pPr>
        <w:spacing w:before="0" w:after="0"/>
        <w:rPr>
          <w:sz w:val="22"/>
          <w:szCs w:val="22"/>
        </w:rPr>
      </w:pPr>
      <w:r w:rsidRPr="001A1197">
        <w:rPr>
          <w:sz w:val="22"/>
          <w:szCs w:val="22"/>
        </w:rPr>
        <w:t xml:space="preserve">Multiple studies have demonstrated a correlation between certain characteristics of pleural effusion and malignancy </w:t>
      </w:r>
      <w:r w:rsidR="009972A8" w:rsidRPr="001A1197">
        <w:rPr>
          <w:sz w:val="22"/>
          <w:szCs w:val="22"/>
        </w:rPr>
        <w:fldChar w:fldCharType="begin"/>
      </w:r>
      <w:r w:rsidR="00045908" w:rsidRPr="001A1197">
        <w:rPr>
          <w:sz w:val="22"/>
          <w:szCs w:val="22"/>
        </w:rPr>
        <w:instrText xml:space="preserve"> ADDIN ZOTERO_ITEM CSL_CITATION {"citationID":"0q0M5vwz","properties":{"formattedCitation":"[12]","plainCitation":"[12]","noteIndex":0},"citationItems":[{"id":192,"uris":["http://zotero.org/users/local/CffHrRrr/items/JVETKG3G"],"itemData":{"id":192,"type":"article-journal","DOI":"https://doi.org/10.3949/ccjm.86a.17095","issue":"2","journalAbbreviation":"Cleveland Clinic Journal of Medicine","page":"95-99","title":"Managing malignant pleural effusion | Cleveland Clinic Journal of Medicine","volume":"86","author":[{"literal":"Ali Saeed Wahla"},{"literal":"Mateen Uzbeck"},{"literal":"Yaser Abu El Sameed"},{"literal":"Zaid Zoumot"}],"issued":{"date-parts":[["2019"]]}}}],"schema":"https://github.com/citation-style-language/schema/raw/master/csl-citation.json"} </w:instrText>
      </w:r>
      <w:r w:rsidR="009972A8" w:rsidRPr="001A1197">
        <w:rPr>
          <w:sz w:val="22"/>
          <w:szCs w:val="22"/>
        </w:rPr>
        <w:fldChar w:fldCharType="separate"/>
      </w:r>
      <w:r w:rsidR="009972A8" w:rsidRPr="001A1197">
        <w:rPr>
          <w:sz w:val="22"/>
          <w:szCs w:val="22"/>
        </w:rPr>
        <w:t>[12]</w:t>
      </w:r>
      <w:r w:rsidR="009972A8" w:rsidRPr="001A1197">
        <w:rPr>
          <w:sz w:val="22"/>
          <w:szCs w:val="22"/>
        </w:rPr>
        <w:fldChar w:fldCharType="end"/>
      </w:r>
      <w:r w:rsidR="001D743D" w:rsidRPr="001A1197">
        <w:rPr>
          <w:sz w:val="22"/>
          <w:szCs w:val="22"/>
        </w:rPr>
        <w:t xml:space="preserve">. </w:t>
      </w:r>
      <w:r w:rsidRPr="001A1197">
        <w:rPr>
          <w:sz w:val="22"/>
          <w:szCs w:val="22"/>
        </w:rPr>
        <w:t>However, there is no evidence that pleural fluid volume directly determines the malignancy rate. Malignant pleural effusion often occurs in advanced or metastatic cancer stages, potentially due to angiogenesis leading to increased vascular permeability. This condition typically indicates that the patient may be in a severe disease stage with a poor prognosis</w:t>
      </w:r>
      <w:r w:rsidR="00E86D60" w:rsidRPr="001A1197">
        <w:rPr>
          <w:sz w:val="22"/>
          <w:szCs w:val="22"/>
        </w:rPr>
        <w:t xml:space="preserve"> </w:t>
      </w:r>
      <w:r w:rsidR="00E86D60" w:rsidRPr="001A1197">
        <w:rPr>
          <w:sz w:val="22"/>
          <w:szCs w:val="22"/>
        </w:rPr>
        <w:fldChar w:fldCharType="begin"/>
      </w:r>
      <w:r w:rsidR="00045908" w:rsidRPr="001A1197">
        <w:rPr>
          <w:sz w:val="22"/>
          <w:szCs w:val="22"/>
        </w:rPr>
        <w:instrText xml:space="preserve"> ADDIN ZOTERO_ITEM CSL_CITATION {"citationID":"wY9cEAyT","properties":{"formattedCitation":"[12]","plainCitation":"[12]","noteIndex":0},"citationItems":[{"id":192,"uris":["http://zotero.org/users/local/CffHrRrr/items/JVETKG3G"],"itemData":{"id":192,"type":"article-journal","DOI":"https://doi.org/10.3949/ccjm.86a.17095","issue":"2","journalAbbreviation":"Cleveland Clinic Journal of Medicine","page":"95-99","title":"Managing malignant pleural effusion | Cleveland Clinic Journal of Medicine","volume":"86","author":[{"literal":"Ali Saeed Wahla"},{"literal":"Mateen Uzbeck"},{"literal":"Yaser Abu El Sameed"},{"literal":"Zaid Zoumot"}],"issued":{"date-parts":[["2019"]]}}}],"schema":"https://github.com/citation-style-language/schema/raw/master/csl-citation.json"} </w:instrText>
      </w:r>
      <w:r w:rsidR="00E86D60" w:rsidRPr="001A1197">
        <w:rPr>
          <w:sz w:val="22"/>
          <w:szCs w:val="22"/>
        </w:rPr>
        <w:fldChar w:fldCharType="separate"/>
      </w:r>
      <w:r w:rsidR="009A6DFC" w:rsidRPr="001A1197">
        <w:rPr>
          <w:sz w:val="22"/>
          <w:szCs w:val="22"/>
        </w:rPr>
        <w:t>[12]</w:t>
      </w:r>
      <w:r w:rsidR="00E86D60" w:rsidRPr="001A1197">
        <w:rPr>
          <w:sz w:val="22"/>
          <w:szCs w:val="22"/>
        </w:rPr>
        <w:fldChar w:fldCharType="end"/>
      </w:r>
      <w:r w:rsidR="001D743D" w:rsidRPr="001A1197">
        <w:rPr>
          <w:sz w:val="22"/>
          <w:szCs w:val="22"/>
        </w:rPr>
        <w:t xml:space="preserve">. </w:t>
      </w:r>
      <w:r w:rsidRPr="001A1197">
        <w:rPr>
          <w:sz w:val="22"/>
          <w:szCs w:val="22"/>
        </w:rPr>
        <w:t>On the other hand, a larger volume of pleural effusion results in a higher amount of cellular sediment, improving the ability to observe abnormal cells and increasing the likelihood of malignancy diagnosis.</w:t>
      </w:r>
    </w:p>
    <w:p w14:paraId="27CA95F6" w14:textId="5967B42F" w:rsidR="001D743D" w:rsidRPr="001A1197" w:rsidRDefault="00A16988" w:rsidP="00C410BF">
      <w:pPr>
        <w:spacing w:before="0" w:after="0"/>
        <w:rPr>
          <w:sz w:val="22"/>
          <w:szCs w:val="22"/>
        </w:rPr>
      </w:pPr>
      <w:r w:rsidRPr="001A1197">
        <w:rPr>
          <w:sz w:val="22"/>
          <w:szCs w:val="22"/>
        </w:rPr>
        <w:t xml:space="preserve">Regarding color, pleural effusion can vary significantly in appearance depending on the underlying cause. For example, red or bloody fluid may suggest the presence of cancer or trauma, whereas clear or pale yellow fluid may indicate benign causes such as heart failure or cirrhosis. Although color alone is not a definitive indicator of malignancy, certain appearances, such as turbid or bloody fluid, may suggest a higher likelihood of cancer presence </w:t>
      </w:r>
      <w:r w:rsidR="00E86D60" w:rsidRPr="001A1197">
        <w:rPr>
          <w:sz w:val="22"/>
          <w:szCs w:val="22"/>
        </w:rPr>
        <w:fldChar w:fldCharType="begin"/>
      </w:r>
      <w:r w:rsidR="00045908" w:rsidRPr="001A1197">
        <w:rPr>
          <w:sz w:val="22"/>
          <w:szCs w:val="22"/>
        </w:rPr>
        <w:instrText xml:space="preserve"> ADDIN ZOTERO_ITEM CSL_CITATION {"citationID":"Dksrq750","properties":{"formattedCitation":"[12]","plainCitation":"[12]","noteIndex":0},"citationItems":[{"id":192,"uris":["http://zotero.org/users/local/CffHrRrr/items/JVETKG3G"],"itemData":{"id":192,"type":"article-journal","DOI":"https://doi.org/10.3949/ccjm.86a.17095","issue":"2","journalAbbreviation":"Cleveland Clinic Journal of Medicine","page":"95-99","title":"Managing malignant pleural effusion | Cleveland Clinic Journal of Medicine","volume":"86","author":[{"literal":"Ali Saeed Wahla"},{"literal":"Mateen Uzbeck"},{"literal":"Yaser Abu El Sameed"},{"literal":"Zaid Zoumot"}],"issued":{"date-parts":[["2019"]]}}}],"schema":"https://github.com/citation-style-language/schema/raw/master/csl-citation.json"} </w:instrText>
      </w:r>
      <w:r w:rsidR="00E86D60" w:rsidRPr="001A1197">
        <w:rPr>
          <w:sz w:val="22"/>
          <w:szCs w:val="22"/>
        </w:rPr>
        <w:fldChar w:fldCharType="separate"/>
      </w:r>
      <w:r w:rsidR="009A6DFC" w:rsidRPr="001A1197">
        <w:rPr>
          <w:sz w:val="22"/>
          <w:szCs w:val="22"/>
        </w:rPr>
        <w:t>[12]</w:t>
      </w:r>
      <w:r w:rsidR="00E86D60" w:rsidRPr="001A1197">
        <w:rPr>
          <w:sz w:val="22"/>
          <w:szCs w:val="22"/>
        </w:rPr>
        <w:fldChar w:fldCharType="end"/>
      </w:r>
      <w:r w:rsidR="00E86D60" w:rsidRPr="001A1197">
        <w:rPr>
          <w:sz w:val="22"/>
          <w:szCs w:val="22"/>
        </w:rPr>
        <w:t>.</w:t>
      </w:r>
    </w:p>
    <w:p w14:paraId="2F6BDF0F" w14:textId="77777777" w:rsidR="002F11E2" w:rsidRPr="001A1197" w:rsidRDefault="002F11E2" w:rsidP="00C410BF">
      <w:pPr>
        <w:pStyle w:val="ListParagraph"/>
        <w:tabs>
          <w:tab w:val="left" w:pos="426"/>
        </w:tabs>
        <w:spacing w:before="0" w:after="0"/>
        <w:ind w:left="0"/>
        <w:outlineLvl w:val="0"/>
        <w:rPr>
          <w:rFonts w:cs="Times New Roman"/>
          <w:b/>
          <w:sz w:val="22"/>
        </w:rPr>
      </w:pPr>
      <w:bookmarkStart w:id="19" w:name="_Toc116138591"/>
      <w:bookmarkStart w:id="20" w:name="_Toc116146061"/>
      <w:r w:rsidRPr="001A1197">
        <w:rPr>
          <w:rFonts w:cs="Times New Roman"/>
          <w:b/>
          <w:sz w:val="22"/>
        </w:rPr>
        <w:t xml:space="preserve">V. </w:t>
      </w:r>
      <w:bookmarkEnd w:id="19"/>
      <w:bookmarkEnd w:id="20"/>
      <w:r w:rsidRPr="001A1197">
        <w:rPr>
          <w:rFonts w:cs="Times New Roman"/>
          <w:b/>
          <w:sz w:val="22"/>
        </w:rPr>
        <w:t>CONCLUSION</w:t>
      </w:r>
    </w:p>
    <w:p w14:paraId="56C66DF4" w14:textId="44770C76" w:rsidR="00045908" w:rsidRPr="001A1197" w:rsidRDefault="002F11E2" w:rsidP="00C410BF">
      <w:pPr>
        <w:spacing w:before="0" w:after="0"/>
        <w:rPr>
          <w:sz w:val="22"/>
          <w:szCs w:val="22"/>
        </w:rPr>
      </w:pPr>
      <w:r w:rsidRPr="001A1197">
        <w:rPr>
          <w:rFonts w:eastAsia="Batang"/>
          <w:sz w:val="22"/>
          <w:szCs w:val="22"/>
          <w:lang w:val="vi-VN" w:eastAsia="ko-KR"/>
        </w:rPr>
        <w:lastRenderedPageBreak/>
        <w:t>The cell block technique identified more malignant and suspicious cases than the cell smear technique in diagnosing malignant pleural effusion. A significant association was found between gender, fluid volume, and cytological diagnosis using the cell block technique.</w:t>
      </w:r>
    </w:p>
    <w:p w14:paraId="1B432B1B" w14:textId="77777777" w:rsidR="002F11E2" w:rsidRPr="001A1197" w:rsidRDefault="002F11E2" w:rsidP="00C410BF">
      <w:pPr>
        <w:pStyle w:val="ListParagraph"/>
        <w:tabs>
          <w:tab w:val="left" w:pos="426"/>
        </w:tabs>
        <w:spacing w:before="0" w:after="0"/>
        <w:ind w:left="0"/>
        <w:outlineLvl w:val="0"/>
        <w:rPr>
          <w:rFonts w:cs="Times New Roman"/>
          <w:b/>
          <w:sz w:val="22"/>
        </w:rPr>
      </w:pPr>
      <w:r w:rsidRPr="001A1197">
        <w:rPr>
          <w:rFonts w:cs="Times New Roman"/>
          <w:b/>
          <w:sz w:val="22"/>
        </w:rPr>
        <w:t>REFERENCES</w:t>
      </w:r>
    </w:p>
    <w:p w14:paraId="59548767" w14:textId="77777777" w:rsidR="007B2225" w:rsidRPr="001A1197" w:rsidRDefault="00517567" w:rsidP="00C410BF">
      <w:pPr>
        <w:pStyle w:val="Bibliography"/>
        <w:spacing w:before="0" w:line="360" w:lineRule="auto"/>
        <w:rPr>
          <w:sz w:val="22"/>
          <w:szCs w:val="22"/>
        </w:rPr>
      </w:pPr>
      <w:r w:rsidRPr="001A1197">
        <w:rPr>
          <w:sz w:val="22"/>
          <w:szCs w:val="22"/>
        </w:rPr>
        <w:fldChar w:fldCharType="begin"/>
      </w:r>
      <w:r w:rsidR="007B2225" w:rsidRPr="001A1197">
        <w:rPr>
          <w:sz w:val="22"/>
          <w:szCs w:val="22"/>
        </w:rPr>
        <w:instrText xml:space="preserve"> ADDIN ZOTERO_BIBL {"uncited":[],"omitted":[],"custom":[]} CSL_BIBLIOGRAPHY </w:instrText>
      </w:r>
      <w:r w:rsidRPr="001A1197">
        <w:rPr>
          <w:sz w:val="22"/>
          <w:szCs w:val="22"/>
        </w:rPr>
        <w:fldChar w:fldCharType="separate"/>
      </w:r>
      <w:r w:rsidR="007B2225" w:rsidRPr="001A1197">
        <w:rPr>
          <w:sz w:val="22"/>
          <w:szCs w:val="22"/>
        </w:rPr>
        <w:t>[1]</w:t>
      </w:r>
      <w:r w:rsidR="007B2225" w:rsidRPr="001A1197">
        <w:rPr>
          <w:sz w:val="22"/>
          <w:szCs w:val="22"/>
        </w:rPr>
        <w:tab/>
        <w:t xml:space="preserve">R. Sharma, “Mapping of global, regional and national incidence, mortality and mortality-to-incidence ratio of lung cancer in 2020 and 2050,” </w:t>
      </w:r>
      <w:r w:rsidR="007B2225" w:rsidRPr="001A1197">
        <w:rPr>
          <w:i/>
          <w:iCs/>
          <w:sz w:val="22"/>
          <w:szCs w:val="22"/>
        </w:rPr>
        <w:t>Int. J. Clin. Oncol.</w:t>
      </w:r>
      <w:r w:rsidR="007B2225" w:rsidRPr="001A1197">
        <w:rPr>
          <w:sz w:val="22"/>
          <w:szCs w:val="22"/>
        </w:rPr>
        <w:t>, vol. 27, no. 4, pp. 665–675, Apr. 2022, doi: 10.1007/s10147-021-02108-2.</w:t>
      </w:r>
    </w:p>
    <w:p w14:paraId="1ADB5AC7" w14:textId="77777777" w:rsidR="007B2225" w:rsidRPr="001A1197" w:rsidRDefault="007B2225" w:rsidP="00C410BF">
      <w:pPr>
        <w:pStyle w:val="Bibliography"/>
        <w:spacing w:before="0" w:line="360" w:lineRule="auto"/>
        <w:rPr>
          <w:sz w:val="22"/>
          <w:szCs w:val="22"/>
        </w:rPr>
      </w:pPr>
      <w:r w:rsidRPr="001A1197">
        <w:rPr>
          <w:sz w:val="22"/>
          <w:szCs w:val="22"/>
        </w:rPr>
        <w:t>[2]</w:t>
      </w:r>
      <w:r w:rsidRPr="001A1197">
        <w:rPr>
          <w:sz w:val="22"/>
          <w:szCs w:val="22"/>
        </w:rPr>
        <w:tab/>
        <w:t xml:space="preserve">Nguyen Quang Thi </w:t>
      </w:r>
      <w:r w:rsidRPr="001A1197">
        <w:rPr>
          <w:i/>
          <w:iCs/>
          <w:sz w:val="22"/>
          <w:szCs w:val="22"/>
        </w:rPr>
        <w:t>et al.</w:t>
      </w:r>
      <w:r w:rsidRPr="001A1197">
        <w:rPr>
          <w:sz w:val="22"/>
          <w:szCs w:val="22"/>
        </w:rPr>
        <w:t xml:space="preserve">, “Efficacy of cell block technique in the cytodiagnosis of some body cavityeffusions at the 108 Military Central Hospital,” </w:t>
      </w:r>
      <w:r w:rsidRPr="001A1197">
        <w:rPr>
          <w:i/>
          <w:iCs/>
          <w:sz w:val="22"/>
          <w:szCs w:val="22"/>
        </w:rPr>
        <w:t>J. 108 - Clin. Med. Phamarcy</w:t>
      </w:r>
      <w:r w:rsidRPr="001A1197">
        <w:rPr>
          <w:sz w:val="22"/>
          <w:szCs w:val="22"/>
        </w:rPr>
        <w:t>, vol. 17, no. 8, pp. 156–162, Aug. 2022, doi: 10.52389/ydls.v17iDB8.1316.</w:t>
      </w:r>
    </w:p>
    <w:p w14:paraId="6C364E65" w14:textId="77777777" w:rsidR="007B2225" w:rsidRPr="001A1197" w:rsidRDefault="007B2225" w:rsidP="00C410BF">
      <w:pPr>
        <w:pStyle w:val="Bibliography"/>
        <w:spacing w:before="0" w:line="360" w:lineRule="auto"/>
        <w:rPr>
          <w:sz w:val="22"/>
          <w:szCs w:val="22"/>
        </w:rPr>
      </w:pPr>
      <w:r w:rsidRPr="001A1197">
        <w:rPr>
          <w:sz w:val="22"/>
          <w:szCs w:val="22"/>
        </w:rPr>
        <w:t>[3]</w:t>
      </w:r>
      <w:r w:rsidRPr="001A1197">
        <w:rPr>
          <w:sz w:val="22"/>
          <w:szCs w:val="22"/>
        </w:rPr>
        <w:tab/>
        <w:t xml:space="preserve">Ozcakar, B </w:t>
      </w:r>
      <w:r w:rsidRPr="001A1197">
        <w:rPr>
          <w:i/>
          <w:iCs/>
          <w:sz w:val="22"/>
          <w:szCs w:val="22"/>
        </w:rPr>
        <w:t>et al.</w:t>
      </w:r>
      <w:r w:rsidRPr="001A1197">
        <w:rPr>
          <w:sz w:val="22"/>
          <w:szCs w:val="22"/>
        </w:rPr>
        <w:t xml:space="preserve">, “Does pleural fluid appearance really matter? The relationship between fluid appearance and cytology, cell counts, and chemical laboratory measurements in pleural effusions of patients with cancer,” </w:t>
      </w:r>
      <w:r w:rsidRPr="001A1197">
        <w:rPr>
          <w:i/>
          <w:iCs/>
          <w:sz w:val="22"/>
          <w:szCs w:val="22"/>
        </w:rPr>
        <w:t>J. Cardiothorac. Surg.</w:t>
      </w:r>
      <w:r w:rsidRPr="001A1197">
        <w:rPr>
          <w:sz w:val="22"/>
          <w:szCs w:val="22"/>
        </w:rPr>
        <w:t>, vol. 5, pp. 1–5, 2010.</w:t>
      </w:r>
    </w:p>
    <w:p w14:paraId="7A6A6B2E" w14:textId="090771EF" w:rsidR="007B2225" w:rsidRPr="001A1197" w:rsidRDefault="007B2225" w:rsidP="00C410BF">
      <w:pPr>
        <w:pStyle w:val="Bibliography"/>
        <w:spacing w:before="0" w:line="360" w:lineRule="auto"/>
        <w:rPr>
          <w:sz w:val="22"/>
          <w:szCs w:val="22"/>
        </w:rPr>
      </w:pPr>
      <w:r w:rsidRPr="001A1197">
        <w:rPr>
          <w:sz w:val="22"/>
          <w:szCs w:val="22"/>
        </w:rPr>
        <w:t>[4]</w:t>
      </w:r>
      <w:r w:rsidRPr="001A1197">
        <w:rPr>
          <w:sz w:val="22"/>
          <w:szCs w:val="22"/>
        </w:rPr>
        <w:tab/>
        <w:t xml:space="preserve">Ministry of Health, </w:t>
      </w:r>
      <w:r w:rsidRPr="001A1197">
        <w:rPr>
          <w:i/>
          <w:iCs/>
          <w:sz w:val="22"/>
          <w:szCs w:val="22"/>
        </w:rPr>
        <w:t>Guidelines for Technical Procedures in Pathology and Cytology</w:t>
      </w:r>
      <w:r w:rsidRPr="001A1197">
        <w:rPr>
          <w:sz w:val="22"/>
          <w:szCs w:val="22"/>
        </w:rPr>
        <w:t>. Hanoi: Medical Publishing House, 2016.</w:t>
      </w:r>
    </w:p>
    <w:p w14:paraId="5F9EB287" w14:textId="77777777" w:rsidR="007B2225" w:rsidRPr="001A1197" w:rsidRDefault="007B2225" w:rsidP="00C410BF">
      <w:pPr>
        <w:pStyle w:val="Bibliography"/>
        <w:spacing w:before="0" w:line="360" w:lineRule="auto"/>
        <w:rPr>
          <w:sz w:val="22"/>
          <w:szCs w:val="22"/>
        </w:rPr>
      </w:pPr>
      <w:r w:rsidRPr="001A1197">
        <w:rPr>
          <w:sz w:val="22"/>
          <w:szCs w:val="22"/>
        </w:rPr>
        <w:t>[5]</w:t>
      </w:r>
      <w:r w:rsidRPr="001A1197">
        <w:rPr>
          <w:sz w:val="22"/>
          <w:szCs w:val="22"/>
        </w:rPr>
        <w:tab/>
        <w:t xml:space="preserve">L. G. Koss and M. R. Melamed, </w:t>
      </w:r>
      <w:r w:rsidRPr="001A1197">
        <w:rPr>
          <w:i/>
          <w:iCs/>
          <w:sz w:val="22"/>
          <w:szCs w:val="22"/>
        </w:rPr>
        <w:t>Koss’ Diagnostic Cytology and Its Histopathologic Bases</w:t>
      </w:r>
      <w:r w:rsidRPr="001A1197">
        <w:rPr>
          <w:sz w:val="22"/>
          <w:szCs w:val="22"/>
        </w:rPr>
        <w:t>, 5th ed. Lippincott Williams &amp; Wilkins, 2006.</w:t>
      </w:r>
    </w:p>
    <w:p w14:paraId="6633D7C2" w14:textId="77777777" w:rsidR="007B2225" w:rsidRPr="001A1197" w:rsidRDefault="007B2225" w:rsidP="00C410BF">
      <w:pPr>
        <w:pStyle w:val="Bibliography"/>
        <w:spacing w:before="0" w:line="360" w:lineRule="auto"/>
        <w:rPr>
          <w:sz w:val="22"/>
          <w:szCs w:val="22"/>
        </w:rPr>
      </w:pPr>
      <w:r w:rsidRPr="001A1197">
        <w:rPr>
          <w:sz w:val="22"/>
          <w:szCs w:val="22"/>
        </w:rPr>
        <w:t>[6]</w:t>
      </w:r>
      <w:r w:rsidRPr="001A1197">
        <w:rPr>
          <w:sz w:val="22"/>
          <w:szCs w:val="22"/>
        </w:rPr>
        <w:tab/>
        <w:t xml:space="preserve">M. Thapar, R. K. Mishra, A. Sharma, V. Goyal, and V. Goyal, “Critical analysis of cell block versus smear examination in effusions,” </w:t>
      </w:r>
      <w:r w:rsidRPr="001A1197">
        <w:rPr>
          <w:i/>
          <w:iCs/>
          <w:sz w:val="22"/>
          <w:szCs w:val="22"/>
        </w:rPr>
        <w:t>J. Cytol.</w:t>
      </w:r>
      <w:r w:rsidRPr="001A1197">
        <w:rPr>
          <w:sz w:val="22"/>
          <w:szCs w:val="22"/>
        </w:rPr>
        <w:t>, vol. 26, no. 2, pp. 60–64, Apr. 2009, doi: 10.4103/0970-9371.55223.</w:t>
      </w:r>
    </w:p>
    <w:p w14:paraId="6DE90AD6" w14:textId="77777777" w:rsidR="007B2225" w:rsidRPr="001A1197" w:rsidRDefault="007B2225" w:rsidP="00C410BF">
      <w:pPr>
        <w:pStyle w:val="Bibliography"/>
        <w:spacing w:before="0" w:line="360" w:lineRule="auto"/>
        <w:rPr>
          <w:sz w:val="22"/>
          <w:szCs w:val="22"/>
        </w:rPr>
      </w:pPr>
      <w:r w:rsidRPr="001A1197">
        <w:rPr>
          <w:sz w:val="22"/>
          <w:szCs w:val="22"/>
        </w:rPr>
        <w:t>[7]</w:t>
      </w:r>
      <w:r w:rsidRPr="001A1197">
        <w:rPr>
          <w:sz w:val="22"/>
          <w:szCs w:val="22"/>
        </w:rPr>
        <w:tab/>
        <w:t xml:space="preserve">S. S. S. Rani, I. S. Vamshidhar, N. A. John, and J. John, “Diagnosis of Pleural Fluid Effusions by Cell Block and Pleural Biopsy - A Comparative Study,” </w:t>
      </w:r>
      <w:r w:rsidRPr="001A1197">
        <w:rPr>
          <w:i/>
          <w:iCs/>
          <w:sz w:val="22"/>
          <w:szCs w:val="22"/>
        </w:rPr>
        <w:t>J. Cytol.</w:t>
      </w:r>
      <w:r w:rsidRPr="001A1197">
        <w:rPr>
          <w:sz w:val="22"/>
          <w:szCs w:val="22"/>
        </w:rPr>
        <w:t>, vol. 39, no. 4, pp. 169–173, 2022, doi: 10.4103/joc.joc_91_21.</w:t>
      </w:r>
    </w:p>
    <w:p w14:paraId="20519A06" w14:textId="77777777" w:rsidR="007B2225" w:rsidRPr="001A1197" w:rsidRDefault="007B2225" w:rsidP="00C410BF">
      <w:pPr>
        <w:pStyle w:val="Bibliography"/>
        <w:spacing w:before="0" w:line="360" w:lineRule="auto"/>
        <w:rPr>
          <w:sz w:val="22"/>
          <w:szCs w:val="22"/>
        </w:rPr>
      </w:pPr>
      <w:r w:rsidRPr="001A1197">
        <w:rPr>
          <w:sz w:val="22"/>
          <w:szCs w:val="22"/>
        </w:rPr>
        <w:t>[8]</w:t>
      </w:r>
      <w:r w:rsidRPr="001A1197">
        <w:rPr>
          <w:sz w:val="22"/>
          <w:szCs w:val="22"/>
        </w:rPr>
        <w:tab/>
        <w:t xml:space="preserve">S. H. KUMAR, S. S, D. SHETTY, and R. RAO, “Clinicopathological Study of 117 Body Fluids: Comparison of Conventional Smear and Cell Block Technique,” </w:t>
      </w:r>
      <w:r w:rsidRPr="001A1197">
        <w:rPr>
          <w:i/>
          <w:iCs/>
          <w:sz w:val="22"/>
          <w:szCs w:val="22"/>
        </w:rPr>
        <w:t>Curr. Health Sci. J.</w:t>
      </w:r>
      <w:r w:rsidRPr="001A1197">
        <w:rPr>
          <w:sz w:val="22"/>
          <w:szCs w:val="22"/>
        </w:rPr>
        <w:t>, vol. 46, no. 4, pp. 336–343, 2020, doi: 10.12865/CHSJ.46.04.03.</w:t>
      </w:r>
    </w:p>
    <w:p w14:paraId="758E8968" w14:textId="77777777" w:rsidR="007B2225" w:rsidRPr="001A1197" w:rsidRDefault="007B2225" w:rsidP="00C410BF">
      <w:pPr>
        <w:pStyle w:val="Bibliography"/>
        <w:spacing w:before="0" w:line="360" w:lineRule="auto"/>
        <w:rPr>
          <w:sz w:val="22"/>
          <w:szCs w:val="22"/>
        </w:rPr>
      </w:pPr>
      <w:r w:rsidRPr="001A1197">
        <w:rPr>
          <w:sz w:val="22"/>
          <w:szCs w:val="22"/>
        </w:rPr>
        <w:t>[9]</w:t>
      </w:r>
      <w:r w:rsidRPr="001A1197">
        <w:rPr>
          <w:sz w:val="22"/>
          <w:szCs w:val="22"/>
        </w:rPr>
        <w:tab/>
        <w:t xml:space="preserve">S. S. S. Rani and I. S. Vamshidhar, “Efficacy of Cell Block Technique in the Cytodiagnosis of Malignant Serous Effusions,” </w:t>
      </w:r>
      <w:r w:rsidRPr="001A1197">
        <w:rPr>
          <w:i/>
          <w:iCs/>
          <w:sz w:val="22"/>
          <w:szCs w:val="22"/>
        </w:rPr>
        <w:t>Maedica</w:t>
      </w:r>
      <w:r w:rsidRPr="001A1197">
        <w:rPr>
          <w:sz w:val="22"/>
          <w:szCs w:val="22"/>
        </w:rPr>
        <w:t>, vol. 16, no. 1, pp. 16–21, Mar. 2021, doi: 10.26574/maedica.2020.16.1.16.</w:t>
      </w:r>
    </w:p>
    <w:p w14:paraId="783A4194" w14:textId="77777777" w:rsidR="007B2225" w:rsidRPr="001A1197" w:rsidRDefault="007B2225" w:rsidP="00C410BF">
      <w:pPr>
        <w:pStyle w:val="Bibliography"/>
        <w:spacing w:before="0" w:line="360" w:lineRule="auto"/>
        <w:rPr>
          <w:sz w:val="22"/>
          <w:szCs w:val="22"/>
        </w:rPr>
      </w:pPr>
      <w:r w:rsidRPr="001A1197">
        <w:rPr>
          <w:sz w:val="22"/>
          <w:szCs w:val="22"/>
        </w:rPr>
        <w:t>[10]</w:t>
      </w:r>
      <w:r w:rsidRPr="001A1197">
        <w:rPr>
          <w:sz w:val="22"/>
          <w:szCs w:val="22"/>
        </w:rPr>
        <w:tab/>
        <w:t xml:space="preserve">U. Shivakumarswamy, S. U. Arakeri, M. H. Karigowdar, and B. Yelikar, “Diagnostic utility of the cell block method versus the conventional smear study in pleural fluid cytology,” </w:t>
      </w:r>
      <w:r w:rsidRPr="001A1197">
        <w:rPr>
          <w:i/>
          <w:iCs/>
          <w:sz w:val="22"/>
          <w:szCs w:val="22"/>
        </w:rPr>
        <w:t>J. Cytol. Indian Acad. Cytol.</w:t>
      </w:r>
      <w:r w:rsidRPr="001A1197">
        <w:rPr>
          <w:sz w:val="22"/>
          <w:szCs w:val="22"/>
        </w:rPr>
        <w:t>, vol. 29, no. 1, pp. 11–15, 2012, doi: 10.4103/0970-9371.93210.</w:t>
      </w:r>
    </w:p>
    <w:p w14:paraId="6DF2D30F" w14:textId="77777777" w:rsidR="007B2225" w:rsidRPr="001A1197" w:rsidRDefault="007B2225" w:rsidP="00C410BF">
      <w:pPr>
        <w:pStyle w:val="Bibliography"/>
        <w:spacing w:before="0" w:line="360" w:lineRule="auto"/>
        <w:rPr>
          <w:sz w:val="22"/>
          <w:szCs w:val="22"/>
        </w:rPr>
      </w:pPr>
      <w:r w:rsidRPr="001A1197">
        <w:rPr>
          <w:sz w:val="22"/>
          <w:szCs w:val="22"/>
        </w:rPr>
        <w:t>[11]</w:t>
      </w:r>
      <w:r w:rsidRPr="001A1197">
        <w:rPr>
          <w:sz w:val="22"/>
          <w:szCs w:val="22"/>
        </w:rPr>
        <w:tab/>
        <w:t xml:space="preserve">V. Atashgaran, J. Wrin, S. C. Barry, P. Dasari, and W. V. Ingman, “Dissecting the Biology of Menstrual Cycle-Associated Breast Cancer Risk,” </w:t>
      </w:r>
      <w:r w:rsidRPr="001A1197">
        <w:rPr>
          <w:i/>
          <w:iCs/>
          <w:sz w:val="22"/>
          <w:szCs w:val="22"/>
        </w:rPr>
        <w:t>Front. Oncol.</w:t>
      </w:r>
      <w:r w:rsidRPr="001A1197">
        <w:rPr>
          <w:sz w:val="22"/>
          <w:szCs w:val="22"/>
        </w:rPr>
        <w:t>, vol. 6, Dec. 2016, doi: 10.3389/fonc.2016.00267.</w:t>
      </w:r>
    </w:p>
    <w:p w14:paraId="355801DF" w14:textId="17C08086" w:rsidR="001D743D" w:rsidRPr="001A1197" w:rsidRDefault="007B2225" w:rsidP="00C410BF">
      <w:pPr>
        <w:pStyle w:val="Bibliography"/>
        <w:spacing w:before="0" w:line="360" w:lineRule="auto"/>
        <w:rPr>
          <w:sz w:val="24"/>
          <w:szCs w:val="24"/>
        </w:rPr>
      </w:pPr>
      <w:r w:rsidRPr="001A1197">
        <w:rPr>
          <w:sz w:val="22"/>
          <w:szCs w:val="22"/>
        </w:rPr>
        <w:t>[12]</w:t>
      </w:r>
      <w:r w:rsidRPr="001A1197">
        <w:rPr>
          <w:sz w:val="22"/>
          <w:szCs w:val="22"/>
        </w:rPr>
        <w:tab/>
        <w:t xml:space="preserve">Ali Saeed Wahla, Mateen Uzbeck, Yaser Abu El Sameed, and Zaid Zoumot, “Managing malignant pleural effusion | Cleveland Clinic Journal of Medicine,” </w:t>
      </w:r>
      <w:r w:rsidRPr="001A1197">
        <w:rPr>
          <w:i/>
          <w:iCs/>
          <w:sz w:val="22"/>
          <w:szCs w:val="22"/>
        </w:rPr>
        <w:t>Cleveland Clinic Journal of Medicine</w:t>
      </w:r>
      <w:r w:rsidRPr="001A1197">
        <w:rPr>
          <w:sz w:val="22"/>
          <w:szCs w:val="22"/>
        </w:rPr>
        <w:t>, vol. 86, no. 2, pp. 95–99, 2019, doi: https://doi.org/10.3949/ccjm.86a.17095.</w:t>
      </w:r>
      <w:r w:rsidR="00517567" w:rsidRPr="001A1197">
        <w:rPr>
          <w:sz w:val="22"/>
          <w:szCs w:val="22"/>
        </w:rPr>
        <w:fldChar w:fldCharType="end"/>
      </w:r>
    </w:p>
    <w:sectPr w:rsidR="001D743D" w:rsidRPr="001A1197" w:rsidSect="00174A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1974"/>
    <w:multiLevelType w:val="hybridMultilevel"/>
    <w:tmpl w:val="65B4047E"/>
    <w:lvl w:ilvl="0" w:tplc="131C8B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81EA9"/>
    <w:multiLevelType w:val="hybridMultilevel"/>
    <w:tmpl w:val="EEF23F10"/>
    <w:lvl w:ilvl="0" w:tplc="131C8B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F15C0"/>
    <w:multiLevelType w:val="hybridMultilevel"/>
    <w:tmpl w:val="6A386DC0"/>
    <w:lvl w:ilvl="0" w:tplc="C6400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70749"/>
    <w:multiLevelType w:val="multilevel"/>
    <w:tmpl w:val="6562C1DC"/>
    <w:lvl w:ilvl="0">
      <w:start w:val="1"/>
      <w:numFmt w:val="decimal"/>
      <w:pStyle w:val="Heading1"/>
      <w:suff w:val="space"/>
      <w:lvlText w:val="CHƯƠNG %1."/>
      <w:lvlJc w:val="left"/>
      <w:pPr>
        <w:ind w:left="0" w:firstLine="0"/>
      </w:pPr>
      <w:rPr>
        <w:rFonts w:ascii="Times New Roman" w:hAnsi="Times New Roman" w:hint="default"/>
        <w:b/>
        <w:i w:val="0"/>
        <w:sz w:val="26"/>
      </w:rPr>
    </w:lvl>
    <w:lvl w:ilvl="1">
      <w:start w:val="1"/>
      <w:numFmt w:val="decimal"/>
      <w:suff w:val="space"/>
      <w:lvlText w:val="%1.%2."/>
      <w:lvlJc w:val="left"/>
      <w:pPr>
        <w:ind w:left="0" w:firstLine="0"/>
      </w:pPr>
      <w:rPr>
        <w:rFonts w:ascii="Times New Roman" w:hAnsi="Times New Roman" w:hint="default"/>
        <w:b/>
        <w:i w:val="0"/>
        <w:sz w:val="26"/>
      </w:rPr>
    </w:lvl>
    <w:lvl w:ilvl="2">
      <w:start w:val="1"/>
      <w:numFmt w:val="decimal"/>
      <w:suff w:val="space"/>
      <w:lvlText w:val="%1.%2.%3."/>
      <w:lvlJc w:val="left"/>
      <w:pPr>
        <w:ind w:left="0" w:firstLine="0"/>
      </w:pPr>
      <w:rPr>
        <w:rFonts w:ascii="Times New Roman" w:hAnsi="Times New Roman" w:hint="default"/>
        <w:b/>
        <w:i/>
        <w:sz w:val="26"/>
      </w:rPr>
    </w:lvl>
    <w:lvl w:ilvl="3">
      <w:start w:val="1"/>
      <w:numFmt w:val="none"/>
      <w:pStyle w:val="Heading4"/>
      <w:suff w:val="space"/>
      <w:lvlText w:val="%1.%2.%3."/>
      <w:lvlJc w:val="left"/>
      <w:pPr>
        <w:ind w:left="0" w:firstLine="0"/>
      </w:pPr>
      <w:rPr>
        <w:rFonts w:ascii="Times New Roman" w:hAnsi="Times New Roman" w:hint="default"/>
        <w:b w:val="0"/>
        <w:i/>
        <w:sz w:val="26"/>
      </w:rPr>
    </w:lvl>
    <w:lvl w:ilvl="4">
      <w:start w:val="1"/>
      <w:numFmt w:val="decimal"/>
      <w:lvlRestart w:val="1"/>
      <w:pStyle w:val="Heading5"/>
      <w:lvlText w:val="Bảng %1.%5. "/>
      <w:lvlJc w:val="left"/>
      <w:pPr>
        <w:ind w:left="0" w:firstLine="0"/>
      </w:pPr>
      <w:rPr>
        <w:rFonts w:ascii="Times New Roman" w:hAnsi="Times New Roman" w:hint="default"/>
        <w:b/>
        <w:i/>
        <w:sz w:val="26"/>
      </w:rPr>
    </w:lvl>
    <w:lvl w:ilvl="5">
      <w:start w:val="1"/>
      <w:numFmt w:val="decimal"/>
      <w:lvlRestart w:val="1"/>
      <w:pStyle w:val="Heading6"/>
      <w:suff w:val="space"/>
      <w:lvlText w:val="Biểu đồ %1.%6."/>
      <w:lvlJc w:val="left"/>
      <w:pPr>
        <w:ind w:left="0" w:firstLine="0"/>
      </w:pPr>
      <w:rPr>
        <w:rFonts w:ascii="Times New Roman" w:hAnsi="Times New Roman" w:hint="default"/>
        <w:b/>
        <w:i/>
        <w:sz w:val="26"/>
      </w:rPr>
    </w:lvl>
    <w:lvl w:ilvl="6">
      <w:start w:val="1"/>
      <w:numFmt w:val="decimal"/>
      <w:lvlRestart w:val="1"/>
      <w:pStyle w:val="Heading7"/>
      <w:suff w:val="space"/>
      <w:lvlText w:val="Hình %1.%7."/>
      <w:lvlJc w:val="left"/>
      <w:pPr>
        <w:ind w:left="0" w:firstLine="0"/>
      </w:pPr>
      <w:rPr>
        <w:rFonts w:ascii="Times New Roman" w:hAnsi="Times New Roman" w:hint="default"/>
        <w:b w:val="0"/>
        <w:i/>
        <w:sz w:val="26"/>
      </w:rPr>
    </w:lvl>
    <w:lvl w:ilvl="7">
      <w:start w:val="1"/>
      <w:numFmt w:val="none"/>
      <w:pStyle w:val="Heading8"/>
      <w:suff w:val="space"/>
      <w:lvlText w:val=""/>
      <w:lvlJc w:val="left"/>
      <w:pPr>
        <w:ind w:left="0" w:firstLine="0"/>
      </w:pPr>
      <w:rPr>
        <w:rFonts w:ascii="Times New Roman" w:hAnsi="Times New Roman" w:hint="default"/>
        <w:b w:val="0"/>
        <w:i/>
        <w:sz w:val="26"/>
      </w:rPr>
    </w:lvl>
    <w:lvl w:ilvl="8">
      <w:start w:val="1"/>
      <w:numFmt w:val="lowerRoman"/>
      <w:lvlText w:val="(%9)"/>
      <w:lvlJc w:val="left"/>
      <w:pPr>
        <w:ind w:left="0" w:firstLine="0"/>
      </w:pPr>
      <w:rPr>
        <w:rFonts w:hint="default"/>
      </w:rPr>
    </w:lvl>
  </w:abstractNum>
  <w:abstractNum w:abstractNumId="4" w15:restartNumberingAfterBreak="0">
    <w:nsid w:val="7368271A"/>
    <w:multiLevelType w:val="multilevel"/>
    <w:tmpl w:val="B6E4F6B0"/>
    <w:lvl w:ilvl="0">
      <w:start w:val="1"/>
      <w:numFmt w:val="decimal"/>
      <w:pStyle w:val="Hnh"/>
      <w:lvlText w:val="%1."/>
      <w:lvlJc w:val="left"/>
      <w:pPr>
        <w:tabs>
          <w:tab w:val="num" w:pos="720"/>
        </w:tabs>
        <w:ind w:left="720" w:hanging="720"/>
      </w:pPr>
    </w:lvl>
    <w:lvl w:ilvl="1">
      <w:start w:val="1"/>
      <w:numFmt w:val="decimal"/>
      <w:pStyle w:val="Hn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84"/>
    <w:rsid w:val="00010A13"/>
    <w:rsid w:val="00012011"/>
    <w:rsid w:val="00045908"/>
    <w:rsid w:val="000B171F"/>
    <w:rsid w:val="000C54AD"/>
    <w:rsid w:val="000F1D59"/>
    <w:rsid w:val="001225B5"/>
    <w:rsid w:val="00157C88"/>
    <w:rsid w:val="00174AE8"/>
    <w:rsid w:val="001A1197"/>
    <w:rsid w:val="001B0D3F"/>
    <w:rsid w:val="001D743D"/>
    <w:rsid w:val="001D7803"/>
    <w:rsid w:val="001E1AE4"/>
    <w:rsid w:val="001F07C9"/>
    <w:rsid w:val="001F2B05"/>
    <w:rsid w:val="001F6F51"/>
    <w:rsid w:val="002051C4"/>
    <w:rsid w:val="002802F9"/>
    <w:rsid w:val="00291CB8"/>
    <w:rsid w:val="002A3908"/>
    <w:rsid w:val="002F010C"/>
    <w:rsid w:val="002F11E2"/>
    <w:rsid w:val="002F7953"/>
    <w:rsid w:val="00334CD5"/>
    <w:rsid w:val="003D2741"/>
    <w:rsid w:val="004011BD"/>
    <w:rsid w:val="004209A8"/>
    <w:rsid w:val="004309D7"/>
    <w:rsid w:val="00452DC2"/>
    <w:rsid w:val="0045704D"/>
    <w:rsid w:val="00486766"/>
    <w:rsid w:val="005000BF"/>
    <w:rsid w:val="005040B2"/>
    <w:rsid w:val="00515335"/>
    <w:rsid w:val="00517567"/>
    <w:rsid w:val="00535460"/>
    <w:rsid w:val="005771DD"/>
    <w:rsid w:val="005965B5"/>
    <w:rsid w:val="005A460A"/>
    <w:rsid w:val="00683548"/>
    <w:rsid w:val="006A791F"/>
    <w:rsid w:val="00730D90"/>
    <w:rsid w:val="00771611"/>
    <w:rsid w:val="007A11B0"/>
    <w:rsid w:val="007A686D"/>
    <w:rsid w:val="007B2225"/>
    <w:rsid w:val="00815FE0"/>
    <w:rsid w:val="0081657B"/>
    <w:rsid w:val="00831C71"/>
    <w:rsid w:val="00870DBC"/>
    <w:rsid w:val="008A6C5B"/>
    <w:rsid w:val="008D1301"/>
    <w:rsid w:val="00911B4E"/>
    <w:rsid w:val="00955B84"/>
    <w:rsid w:val="009972A8"/>
    <w:rsid w:val="009A6DFC"/>
    <w:rsid w:val="009D1791"/>
    <w:rsid w:val="009D7D37"/>
    <w:rsid w:val="009E10A7"/>
    <w:rsid w:val="00A16988"/>
    <w:rsid w:val="00AB464F"/>
    <w:rsid w:val="00AE2FF6"/>
    <w:rsid w:val="00B96700"/>
    <w:rsid w:val="00B97B0C"/>
    <w:rsid w:val="00BC5D88"/>
    <w:rsid w:val="00BE2757"/>
    <w:rsid w:val="00BE4EEC"/>
    <w:rsid w:val="00C31F92"/>
    <w:rsid w:val="00C410BF"/>
    <w:rsid w:val="00CF31EC"/>
    <w:rsid w:val="00D300DB"/>
    <w:rsid w:val="00D70FCC"/>
    <w:rsid w:val="00DA141F"/>
    <w:rsid w:val="00DC2C91"/>
    <w:rsid w:val="00E020BA"/>
    <w:rsid w:val="00E13811"/>
    <w:rsid w:val="00E440AB"/>
    <w:rsid w:val="00E86D60"/>
    <w:rsid w:val="00F6591E"/>
    <w:rsid w:val="00F73A7E"/>
    <w:rsid w:val="00F9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7CA6"/>
  <w15:chartTrackingRefBased/>
  <w15:docId w15:val="{B3199B0A-18C2-4204-A07A-7E419865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6"/>
        <w:szCs w:val="26"/>
        <w:lang w:val="en-U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88"/>
  </w:style>
  <w:style w:type="paragraph" w:styleId="Heading1">
    <w:name w:val="heading 1"/>
    <w:aliases w:val="Tiêu đề 1"/>
    <w:basedOn w:val="Normal"/>
    <w:next w:val="Normal"/>
    <w:link w:val="Heading1Char"/>
    <w:autoRedefine/>
    <w:qFormat/>
    <w:rsid w:val="009D7D37"/>
    <w:pPr>
      <w:keepNext/>
      <w:keepLines/>
      <w:numPr>
        <w:numId w:val="3"/>
      </w:numPr>
      <w:jc w:val="center"/>
      <w:outlineLvl w:val="0"/>
    </w:pPr>
    <w:rPr>
      <w:b/>
      <w:szCs w:val="40"/>
    </w:rPr>
  </w:style>
  <w:style w:type="paragraph" w:styleId="Heading2">
    <w:name w:val="heading 2"/>
    <w:aliases w:val="Tiêu đề 2"/>
    <w:basedOn w:val="Normal"/>
    <w:next w:val="Normal"/>
    <w:link w:val="Heading2Char"/>
    <w:autoRedefine/>
    <w:unhideWhenUsed/>
    <w:qFormat/>
    <w:rsid w:val="002051C4"/>
    <w:pPr>
      <w:keepNext/>
      <w:keepLines/>
      <w:outlineLvl w:val="1"/>
    </w:pPr>
    <w:rPr>
      <w:rFonts w:eastAsiaTheme="majorEastAsia" w:cstheme="majorBidi"/>
      <w:b/>
    </w:rPr>
  </w:style>
  <w:style w:type="paragraph" w:styleId="Heading3">
    <w:name w:val="heading 3"/>
    <w:aliases w:val="Tiêu đề 3"/>
    <w:basedOn w:val="Normal"/>
    <w:next w:val="Normal"/>
    <w:link w:val="Heading3Char"/>
    <w:autoRedefine/>
    <w:unhideWhenUsed/>
    <w:qFormat/>
    <w:rsid w:val="000C54AD"/>
    <w:pPr>
      <w:keepNext/>
      <w:outlineLvl w:val="2"/>
    </w:pPr>
    <w:rPr>
      <w:i/>
    </w:rPr>
  </w:style>
  <w:style w:type="paragraph" w:styleId="Heading4">
    <w:name w:val="heading 4"/>
    <w:basedOn w:val="Normal"/>
    <w:next w:val="Normal"/>
    <w:link w:val="Heading4Char"/>
    <w:autoRedefine/>
    <w:uiPriority w:val="9"/>
    <w:unhideWhenUsed/>
    <w:qFormat/>
    <w:rsid w:val="009D7D37"/>
    <w:pPr>
      <w:keepNext/>
      <w:numPr>
        <w:ilvl w:val="3"/>
        <w:numId w:val="3"/>
      </w:numPr>
      <w:outlineLvl w:val="3"/>
    </w:pPr>
    <w:rPr>
      <w:i/>
    </w:rPr>
  </w:style>
  <w:style w:type="paragraph" w:styleId="Heading5">
    <w:name w:val="heading 5"/>
    <w:basedOn w:val="Normal"/>
    <w:next w:val="Normal"/>
    <w:link w:val="Heading5Char"/>
    <w:autoRedefine/>
    <w:unhideWhenUsed/>
    <w:qFormat/>
    <w:rsid w:val="009D7D37"/>
    <w:pPr>
      <w:keepNext/>
      <w:numPr>
        <w:ilvl w:val="4"/>
        <w:numId w:val="3"/>
      </w:numPr>
      <w:jc w:val="center"/>
      <w:outlineLvl w:val="4"/>
    </w:pPr>
    <w:rPr>
      <w:b/>
      <w:i/>
    </w:rPr>
  </w:style>
  <w:style w:type="paragraph" w:styleId="Heading6">
    <w:name w:val="heading 6"/>
    <w:basedOn w:val="Normal"/>
    <w:next w:val="Normal"/>
    <w:link w:val="Heading6Char"/>
    <w:autoRedefine/>
    <w:uiPriority w:val="9"/>
    <w:unhideWhenUsed/>
    <w:qFormat/>
    <w:rsid w:val="009D7D37"/>
    <w:pPr>
      <w:keepNext/>
      <w:keepLines/>
      <w:numPr>
        <w:ilvl w:val="5"/>
        <w:numId w:val="3"/>
      </w:numPr>
      <w:jc w:val="center"/>
      <w:outlineLvl w:val="5"/>
    </w:pPr>
    <w:rPr>
      <w:rFonts w:eastAsiaTheme="majorEastAsia" w:cstheme="majorBidi"/>
      <w:b/>
      <w:i/>
    </w:rPr>
  </w:style>
  <w:style w:type="paragraph" w:styleId="Heading7">
    <w:name w:val="heading 7"/>
    <w:basedOn w:val="Normal"/>
    <w:next w:val="Normal"/>
    <w:link w:val="Heading7Char"/>
    <w:autoRedefine/>
    <w:uiPriority w:val="9"/>
    <w:unhideWhenUsed/>
    <w:rsid w:val="009D7D37"/>
    <w:pPr>
      <w:keepNext/>
      <w:keepLines/>
      <w:numPr>
        <w:ilvl w:val="6"/>
        <w:numId w:val="2"/>
      </w:numPr>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9D7D37"/>
    <w:pPr>
      <w:keepNext/>
      <w:keepLines/>
      <w:numPr>
        <w:ilvl w:val="7"/>
        <w:numId w:val="3"/>
      </w:numPr>
      <w:jc w:val="center"/>
      <w:outlineLvl w:val="7"/>
    </w:pPr>
    <w:rPr>
      <w:rFonts w:eastAsiaTheme="majorEastAsia"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link w:val="Heading1"/>
    <w:rsid w:val="009D7D37"/>
    <w:rPr>
      <w:b/>
      <w:szCs w:val="40"/>
    </w:rPr>
  </w:style>
  <w:style w:type="character" w:customStyle="1" w:styleId="Heading2Char">
    <w:name w:val="Heading 2 Char"/>
    <w:aliases w:val="Tiêu đề 2 Char"/>
    <w:basedOn w:val="DefaultParagraphFont"/>
    <w:link w:val="Heading2"/>
    <w:rsid w:val="002051C4"/>
    <w:rPr>
      <w:rFonts w:eastAsiaTheme="majorEastAsia" w:cstheme="majorBidi"/>
      <w:b/>
    </w:rPr>
  </w:style>
  <w:style w:type="paragraph" w:styleId="NoSpacing">
    <w:name w:val="No Spacing"/>
    <w:aliases w:val="Biểu đồ,Bảng biểu"/>
    <w:autoRedefine/>
    <w:uiPriority w:val="1"/>
    <w:qFormat/>
    <w:rsid w:val="0045704D"/>
    <w:pPr>
      <w:ind w:firstLine="567"/>
      <w:jc w:val="center"/>
    </w:pPr>
    <w:rPr>
      <w:b/>
      <w:i/>
      <w:sz w:val="24"/>
      <w:szCs w:val="24"/>
    </w:rPr>
  </w:style>
  <w:style w:type="character" w:customStyle="1" w:styleId="Heading3Char">
    <w:name w:val="Heading 3 Char"/>
    <w:aliases w:val="Tiêu đề 3 Char"/>
    <w:basedOn w:val="DefaultParagraphFont"/>
    <w:link w:val="Heading3"/>
    <w:rsid w:val="000C54AD"/>
    <w:rPr>
      <w:i/>
    </w:rPr>
  </w:style>
  <w:style w:type="paragraph" w:styleId="Title">
    <w:name w:val="Title"/>
    <w:aliases w:val="Đề mục"/>
    <w:basedOn w:val="Normal"/>
    <w:link w:val="TitleChar"/>
    <w:autoRedefine/>
    <w:qFormat/>
    <w:rsid w:val="009D7D37"/>
    <w:pPr>
      <w:contextualSpacing/>
      <w:jc w:val="center"/>
      <w:outlineLvl w:val="0"/>
    </w:pPr>
    <w:rPr>
      <w:b/>
      <w:szCs w:val="28"/>
    </w:rPr>
  </w:style>
  <w:style w:type="character" w:customStyle="1" w:styleId="TitleChar">
    <w:name w:val="Title Char"/>
    <w:aliases w:val="Đề mục Char"/>
    <w:basedOn w:val="DefaultParagraphFont"/>
    <w:link w:val="Title"/>
    <w:rsid w:val="009D7D37"/>
    <w:rPr>
      <w:rFonts w:cs="Times New Roman"/>
      <w:b/>
      <w:kern w:val="0"/>
      <w:sz w:val="26"/>
      <w:szCs w:val="28"/>
      <w14:ligatures w14:val="none"/>
    </w:rPr>
  </w:style>
  <w:style w:type="character" w:customStyle="1" w:styleId="Heading7Char">
    <w:name w:val="Heading 7 Char"/>
    <w:basedOn w:val="DefaultParagraphFont"/>
    <w:link w:val="Heading7"/>
    <w:uiPriority w:val="9"/>
    <w:rsid w:val="009D7D37"/>
    <w:rPr>
      <w:rFonts w:eastAsiaTheme="majorEastAsia" w:cstheme="majorBidi"/>
      <w:i/>
      <w:iCs/>
    </w:rPr>
  </w:style>
  <w:style w:type="character" w:customStyle="1" w:styleId="Heading4Char">
    <w:name w:val="Heading 4 Char"/>
    <w:basedOn w:val="DefaultParagraphFont"/>
    <w:link w:val="Heading4"/>
    <w:uiPriority w:val="9"/>
    <w:rsid w:val="009D7D37"/>
    <w:rPr>
      <w:i/>
    </w:rPr>
  </w:style>
  <w:style w:type="character" w:customStyle="1" w:styleId="Heading5Char">
    <w:name w:val="Heading 5 Char"/>
    <w:basedOn w:val="DefaultParagraphFont"/>
    <w:link w:val="Heading5"/>
    <w:rsid w:val="009D7D37"/>
    <w:rPr>
      <w:b/>
      <w:i/>
    </w:rPr>
  </w:style>
  <w:style w:type="character" w:customStyle="1" w:styleId="Heading6Char">
    <w:name w:val="Heading 6 Char"/>
    <w:basedOn w:val="DefaultParagraphFont"/>
    <w:link w:val="Heading6"/>
    <w:uiPriority w:val="9"/>
    <w:rsid w:val="009D7D37"/>
    <w:rPr>
      <w:rFonts w:eastAsiaTheme="majorEastAsia" w:cstheme="majorBidi"/>
      <w:b/>
      <w:i/>
    </w:rPr>
  </w:style>
  <w:style w:type="paragraph" w:styleId="Subtitle">
    <w:name w:val="Subtitle"/>
    <w:aliases w:val="Bảng"/>
    <w:basedOn w:val="Normal"/>
    <w:next w:val="Normal"/>
    <w:link w:val="SubtitleChar"/>
    <w:autoRedefine/>
    <w:uiPriority w:val="11"/>
    <w:qFormat/>
    <w:rsid w:val="00C31F92"/>
    <w:pPr>
      <w:jc w:val="center"/>
    </w:pPr>
    <w:rPr>
      <w:b/>
      <w:i/>
      <w:spacing w:val="15"/>
      <w:lang w:eastAsia="x-none"/>
    </w:rPr>
  </w:style>
  <w:style w:type="character" w:customStyle="1" w:styleId="SubtitleChar">
    <w:name w:val="Subtitle Char"/>
    <w:aliases w:val="Bảng Char"/>
    <w:basedOn w:val="DefaultParagraphFont"/>
    <w:link w:val="Subtitle"/>
    <w:uiPriority w:val="11"/>
    <w:rsid w:val="00C31F92"/>
    <w:rPr>
      <w:rFonts w:cs="Times New Roman"/>
      <w:b/>
      <w:i/>
      <w:spacing w:val="15"/>
      <w:kern w:val="0"/>
      <w:sz w:val="26"/>
      <w:szCs w:val="20"/>
      <w:lang w:val="en-GB" w:eastAsia="x-none"/>
      <w14:ligatures w14:val="none"/>
    </w:rPr>
  </w:style>
  <w:style w:type="paragraph" w:customStyle="1" w:styleId="Hnh">
    <w:name w:val="Hình"/>
    <w:basedOn w:val="Heading2"/>
    <w:link w:val="HnhChar"/>
    <w:autoRedefine/>
    <w:qFormat/>
    <w:rsid w:val="00C31F92"/>
    <w:pPr>
      <w:numPr>
        <w:numId w:val="1"/>
      </w:numPr>
    </w:pPr>
    <w:rPr>
      <w:i/>
    </w:rPr>
  </w:style>
  <w:style w:type="character" w:customStyle="1" w:styleId="HnhChar">
    <w:name w:val="Hình Char"/>
    <w:basedOn w:val="Heading2Char"/>
    <w:link w:val="Hnh"/>
    <w:rsid w:val="00C31F92"/>
    <w:rPr>
      <w:rFonts w:eastAsiaTheme="majorEastAsia" w:cstheme="majorBidi"/>
      <w:b/>
      <w:i/>
    </w:rPr>
  </w:style>
  <w:style w:type="paragraph" w:styleId="TOC1">
    <w:name w:val="toc 1"/>
    <w:basedOn w:val="Normal"/>
    <w:next w:val="Normal"/>
    <w:autoRedefine/>
    <w:uiPriority w:val="39"/>
    <w:unhideWhenUsed/>
    <w:rsid w:val="009D7D37"/>
    <w:pPr>
      <w:tabs>
        <w:tab w:val="right" w:leader="dot" w:pos="8789"/>
      </w:tabs>
      <w:spacing w:line="288" w:lineRule="auto"/>
    </w:pPr>
    <w:rPr>
      <w:noProof/>
      <w:szCs w:val="28"/>
      <w:lang w:val="vi-VN"/>
    </w:rPr>
  </w:style>
  <w:style w:type="character" w:customStyle="1" w:styleId="Heading8Char">
    <w:name w:val="Heading 8 Char"/>
    <w:basedOn w:val="DefaultParagraphFont"/>
    <w:link w:val="Heading8"/>
    <w:uiPriority w:val="9"/>
    <w:semiHidden/>
    <w:rsid w:val="009D7D37"/>
    <w:rPr>
      <w:rFonts w:eastAsiaTheme="majorEastAsia" w:cstheme="majorBidi"/>
      <w:i/>
      <w:szCs w:val="21"/>
    </w:rPr>
  </w:style>
  <w:style w:type="paragraph" w:styleId="ListParagraph">
    <w:name w:val="List Paragraph"/>
    <w:basedOn w:val="Normal"/>
    <w:uiPriority w:val="34"/>
    <w:qFormat/>
    <w:rsid w:val="001D743D"/>
    <w:pPr>
      <w:ind w:left="720"/>
      <w:contextualSpacing/>
    </w:pPr>
    <w:rPr>
      <w:rFonts w:eastAsiaTheme="minorHAnsi" w:cstheme="minorBidi"/>
      <w:sz w:val="28"/>
      <w:szCs w:val="22"/>
    </w:rPr>
  </w:style>
  <w:style w:type="table" w:styleId="TableGrid">
    <w:name w:val="Table Grid"/>
    <w:basedOn w:val="TableNormal"/>
    <w:uiPriority w:val="59"/>
    <w:rsid w:val="001D743D"/>
    <w:pPr>
      <w:spacing w:before="0" w:after="0"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1D743D"/>
    <w:pPr>
      <w:jc w:val="center"/>
    </w:pPr>
    <w:rPr>
      <w:b/>
      <w:sz w:val="28"/>
      <w:szCs w:val="28"/>
    </w:rPr>
  </w:style>
  <w:style w:type="character" w:styleId="Hyperlink">
    <w:name w:val="Hyperlink"/>
    <w:basedOn w:val="DefaultParagraphFont"/>
    <w:uiPriority w:val="99"/>
    <w:unhideWhenUsed/>
    <w:rsid w:val="00B96700"/>
    <w:rPr>
      <w:color w:val="0563C1" w:themeColor="hyperlink"/>
      <w:u w:val="single"/>
    </w:rPr>
  </w:style>
  <w:style w:type="character" w:styleId="UnresolvedMention">
    <w:name w:val="Unresolved Mention"/>
    <w:basedOn w:val="DefaultParagraphFont"/>
    <w:uiPriority w:val="99"/>
    <w:semiHidden/>
    <w:unhideWhenUsed/>
    <w:rsid w:val="00B96700"/>
    <w:rPr>
      <w:color w:val="605E5C"/>
      <w:shd w:val="clear" w:color="auto" w:fill="E1DFDD"/>
    </w:rPr>
  </w:style>
  <w:style w:type="character" w:styleId="CommentReference">
    <w:name w:val="annotation reference"/>
    <w:basedOn w:val="DefaultParagraphFont"/>
    <w:uiPriority w:val="99"/>
    <w:semiHidden/>
    <w:unhideWhenUsed/>
    <w:rsid w:val="00BC5D88"/>
    <w:rPr>
      <w:sz w:val="16"/>
      <w:szCs w:val="16"/>
    </w:rPr>
  </w:style>
  <w:style w:type="paragraph" w:styleId="CommentText">
    <w:name w:val="annotation text"/>
    <w:basedOn w:val="Normal"/>
    <w:link w:val="CommentTextChar"/>
    <w:uiPriority w:val="99"/>
    <w:semiHidden/>
    <w:unhideWhenUsed/>
    <w:rsid w:val="00BC5D88"/>
    <w:pPr>
      <w:spacing w:line="240" w:lineRule="auto"/>
    </w:pPr>
    <w:rPr>
      <w:sz w:val="20"/>
      <w:szCs w:val="20"/>
    </w:rPr>
  </w:style>
  <w:style w:type="character" w:customStyle="1" w:styleId="CommentTextChar">
    <w:name w:val="Comment Text Char"/>
    <w:basedOn w:val="DefaultParagraphFont"/>
    <w:link w:val="CommentText"/>
    <w:uiPriority w:val="99"/>
    <w:semiHidden/>
    <w:rsid w:val="00BC5D88"/>
    <w:rPr>
      <w:sz w:val="20"/>
      <w:szCs w:val="20"/>
    </w:rPr>
  </w:style>
  <w:style w:type="paragraph" w:styleId="CommentSubject">
    <w:name w:val="annotation subject"/>
    <w:basedOn w:val="CommentText"/>
    <w:next w:val="CommentText"/>
    <w:link w:val="CommentSubjectChar"/>
    <w:uiPriority w:val="99"/>
    <w:semiHidden/>
    <w:unhideWhenUsed/>
    <w:rsid w:val="00BC5D88"/>
    <w:rPr>
      <w:b/>
      <w:bCs/>
    </w:rPr>
  </w:style>
  <w:style w:type="character" w:customStyle="1" w:styleId="CommentSubjectChar">
    <w:name w:val="Comment Subject Char"/>
    <w:basedOn w:val="CommentTextChar"/>
    <w:link w:val="CommentSubject"/>
    <w:uiPriority w:val="99"/>
    <w:semiHidden/>
    <w:rsid w:val="00BC5D88"/>
    <w:rPr>
      <w:b/>
      <w:bCs/>
      <w:sz w:val="20"/>
      <w:szCs w:val="20"/>
    </w:rPr>
  </w:style>
  <w:style w:type="paragraph" w:styleId="BalloonText">
    <w:name w:val="Balloon Text"/>
    <w:basedOn w:val="Normal"/>
    <w:link w:val="BalloonTextChar"/>
    <w:uiPriority w:val="99"/>
    <w:semiHidden/>
    <w:unhideWhenUsed/>
    <w:rsid w:val="00BC5D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88"/>
    <w:rPr>
      <w:rFonts w:ascii="Segoe UI" w:hAnsi="Segoe UI" w:cs="Segoe UI"/>
      <w:sz w:val="18"/>
      <w:szCs w:val="18"/>
    </w:rPr>
  </w:style>
  <w:style w:type="paragraph" w:styleId="Bibliography">
    <w:name w:val="Bibliography"/>
    <w:basedOn w:val="Normal"/>
    <w:next w:val="Normal"/>
    <w:uiPriority w:val="37"/>
    <w:unhideWhenUsed/>
    <w:rsid w:val="00517567"/>
    <w:pPr>
      <w:tabs>
        <w:tab w:val="left" w:pos="504"/>
      </w:tabs>
      <w:spacing w:after="0" w:line="240" w:lineRule="auto"/>
      <w:ind w:left="504" w:hanging="504"/>
    </w:pPr>
  </w:style>
  <w:style w:type="paragraph" w:styleId="NormalWeb">
    <w:name w:val="Normal (Web)"/>
    <w:basedOn w:val="Normal"/>
    <w:uiPriority w:val="99"/>
    <w:semiHidden/>
    <w:unhideWhenUsed/>
    <w:rsid w:val="007A1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981">
      <w:bodyDiv w:val="1"/>
      <w:marLeft w:val="0"/>
      <w:marRight w:val="0"/>
      <w:marTop w:val="0"/>
      <w:marBottom w:val="0"/>
      <w:divBdr>
        <w:top w:val="none" w:sz="0" w:space="0" w:color="auto"/>
        <w:left w:val="none" w:sz="0" w:space="0" w:color="auto"/>
        <w:bottom w:val="none" w:sz="0" w:space="0" w:color="auto"/>
        <w:right w:val="none" w:sz="0" w:space="0" w:color="auto"/>
      </w:divBdr>
    </w:div>
    <w:div w:id="83385801">
      <w:bodyDiv w:val="1"/>
      <w:marLeft w:val="0"/>
      <w:marRight w:val="0"/>
      <w:marTop w:val="0"/>
      <w:marBottom w:val="0"/>
      <w:divBdr>
        <w:top w:val="none" w:sz="0" w:space="0" w:color="auto"/>
        <w:left w:val="none" w:sz="0" w:space="0" w:color="auto"/>
        <w:bottom w:val="none" w:sz="0" w:space="0" w:color="auto"/>
        <w:right w:val="none" w:sz="0" w:space="0" w:color="auto"/>
      </w:divBdr>
    </w:div>
    <w:div w:id="162866806">
      <w:bodyDiv w:val="1"/>
      <w:marLeft w:val="0"/>
      <w:marRight w:val="0"/>
      <w:marTop w:val="0"/>
      <w:marBottom w:val="0"/>
      <w:divBdr>
        <w:top w:val="none" w:sz="0" w:space="0" w:color="auto"/>
        <w:left w:val="none" w:sz="0" w:space="0" w:color="auto"/>
        <w:bottom w:val="none" w:sz="0" w:space="0" w:color="auto"/>
        <w:right w:val="none" w:sz="0" w:space="0" w:color="auto"/>
      </w:divBdr>
    </w:div>
    <w:div w:id="164319740">
      <w:bodyDiv w:val="1"/>
      <w:marLeft w:val="0"/>
      <w:marRight w:val="0"/>
      <w:marTop w:val="0"/>
      <w:marBottom w:val="0"/>
      <w:divBdr>
        <w:top w:val="none" w:sz="0" w:space="0" w:color="auto"/>
        <w:left w:val="none" w:sz="0" w:space="0" w:color="auto"/>
        <w:bottom w:val="none" w:sz="0" w:space="0" w:color="auto"/>
        <w:right w:val="none" w:sz="0" w:space="0" w:color="auto"/>
      </w:divBdr>
    </w:div>
    <w:div w:id="290979859">
      <w:bodyDiv w:val="1"/>
      <w:marLeft w:val="0"/>
      <w:marRight w:val="0"/>
      <w:marTop w:val="0"/>
      <w:marBottom w:val="0"/>
      <w:divBdr>
        <w:top w:val="none" w:sz="0" w:space="0" w:color="auto"/>
        <w:left w:val="none" w:sz="0" w:space="0" w:color="auto"/>
        <w:bottom w:val="none" w:sz="0" w:space="0" w:color="auto"/>
        <w:right w:val="none" w:sz="0" w:space="0" w:color="auto"/>
      </w:divBdr>
    </w:div>
    <w:div w:id="293755090">
      <w:bodyDiv w:val="1"/>
      <w:marLeft w:val="0"/>
      <w:marRight w:val="0"/>
      <w:marTop w:val="0"/>
      <w:marBottom w:val="0"/>
      <w:divBdr>
        <w:top w:val="none" w:sz="0" w:space="0" w:color="auto"/>
        <w:left w:val="none" w:sz="0" w:space="0" w:color="auto"/>
        <w:bottom w:val="none" w:sz="0" w:space="0" w:color="auto"/>
        <w:right w:val="none" w:sz="0" w:space="0" w:color="auto"/>
      </w:divBdr>
    </w:div>
    <w:div w:id="322662053">
      <w:bodyDiv w:val="1"/>
      <w:marLeft w:val="0"/>
      <w:marRight w:val="0"/>
      <w:marTop w:val="0"/>
      <w:marBottom w:val="0"/>
      <w:divBdr>
        <w:top w:val="none" w:sz="0" w:space="0" w:color="auto"/>
        <w:left w:val="none" w:sz="0" w:space="0" w:color="auto"/>
        <w:bottom w:val="none" w:sz="0" w:space="0" w:color="auto"/>
        <w:right w:val="none" w:sz="0" w:space="0" w:color="auto"/>
      </w:divBdr>
    </w:div>
    <w:div w:id="381253261">
      <w:bodyDiv w:val="1"/>
      <w:marLeft w:val="0"/>
      <w:marRight w:val="0"/>
      <w:marTop w:val="0"/>
      <w:marBottom w:val="0"/>
      <w:divBdr>
        <w:top w:val="none" w:sz="0" w:space="0" w:color="auto"/>
        <w:left w:val="none" w:sz="0" w:space="0" w:color="auto"/>
        <w:bottom w:val="none" w:sz="0" w:space="0" w:color="auto"/>
        <w:right w:val="none" w:sz="0" w:space="0" w:color="auto"/>
      </w:divBdr>
    </w:div>
    <w:div w:id="435444811">
      <w:bodyDiv w:val="1"/>
      <w:marLeft w:val="0"/>
      <w:marRight w:val="0"/>
      <w:marTop w:val="0"/>
      <w:marBottom w:val="0"/>
      <w:divBdr>
        <w:top w:val="none" w:sz="0" w:space="0" w:color="auto"/>
        <w:left w:val="none" w:sz="0" w:space="0" w:color="auto"/>
        <w:bottom w:val="none" w:sz="0" w:space="0" w:color="auto"/>
        <w:right w:val="none" w:sz="0" w:space="0" w:color="auto"/>
      </w:divBdr>
    </w:div>
    <w:div w:id="592249626">
      <w:bodyDiv w:val="1"/>
      <w:marLeft w:val="0"/>
      <w:marRight w:val="0"/>
      <w:marTop w:val="0"/>
      <w:marBottom w:val="0"/>
      <w:divBdr>
        <w:top w:val="none" w:sz="0" w:space="0" w:color="auto"/>
        <w:left w:val="none" w:sz="0" w:space="0" w:color="auto"/>
        <w:bottom w:val="none" w:sz="0" w:space="0" w:color="auto"/>
        <w:right w:val="none" w:sz="0" w:space="0" w:color="auto"/>
      </w:divBdr>
    </w:div>
    <w:div w:id="627470140">
      <w:bodyDiv w:val="1"/>
      <w:marLeft w:val="0"/>
      <w:marRight w:val="0"/>
      <w:marTop w:val="0"/>
      <w:marBottom w:val="0"/>
      <w:divBdr>
        <w:top w:val="none" w:sz="0" w:space="0" w:color="auto"/>
        <w:left w:val="none" w:sz="0" w:space="0" w:color="auto"/>
        <w:bottom w:val="none" w:sz="0" w:space="0" w:color="auto"/>
        <w:right w:val="none" w:sz="0" w:space="0" w:color="auto"/>
      </w:divBdr>
    </w:div>
    <w:div w:id="683241913">
      <w:bodyDiv w:val="1"/>
      <w:marLeft w:val="0"/>
      <w:marRight w:val="0"/>
      <w:marTop w:val="0"/>
      <w:marBottom w:val="0"/>
      <w:divBdr>
        <w:top w:val="none" w:sz="0" w:space="0" w:color="auto"/>
        <w:left w:val="none" w:sz="0" w:space="0" w:color="auto"/>
        <w:bottom w:val="none" w:sz="0" w:space="0" w:color="auto"/>
        <w:right w:val="none" w:sz="0" w:space="0" w:color="auto"/>
      </w:divBdr>
    </w:div>
    <w:div w:id="746921611">
      <w:bodyDiv w:val="1"/>
      <w:marLeft w:val="0"/>
      <w:marRight w:val="0"/>
      <w:marTop w:val="0"/>
      <w:marBottom w:val="0"/>
      <w:divBdr>
        <w:top w:val="none" w:sz="0" w:space="0" w:color="auto"/>
        <w:left w:val="none" w:sz="0" w:space="0" w:color="auto"/>
        <w:bottom w:val="none" w:sz="0" w:space="0" w:color="auto"/>
        <w:right w:val="none" w:sz="0" w:space="0" w:color="auto"/>
      </w:divBdr>
    </w:div>
    <w:div w:id="852764770">
      <w:bodyDiv w:val="1"/>
      <w:marLeft w:val="0"/>
      <w:marRight w:val="0"/>
      <w:marTop w:val="0"/>
      <w:marBottom w:val="0"/>
      <w:divBdr>
        <w:top w:val="none" w:sz="0" w:space="0" w:color="auto"/>
        <w:left w:val="none" w:sz="0" w:space="0" w:color="auto"/>
        <w:bottom w:val="none" w:sz="0" w:space="0" w:color="auto"/>
        <w:right w:val="none" w:sz="0" w:space="0" w:color="auto"/>
      </w:divBdr>
    </w:div>
    <w:div w:id="854615470">
      <w:bodyDiv w:val="1"/>
      <w:marLeft w:val="0"/>
      <w:marRight w:val="0"/>
      <w:marTop w:val="0"/>
      <w:marBottom w:val="0"/>
      <w:divBdr>
        <w:top w:val="none" w:sz="0" w:space="0" w:color="auto"/>
        <w:left w:val="none" w:sz="0" w:space="0" w:color="auto"/>
        <w:bottom w:val="none" w:sz="0" w:space="0" w:color="auto"/>
        <w:right w:val="none" w:sz="0" w:space="0" w:color="auto"/>
      </w:divBdr>
    </w:div>
    <w:div w:id="905267068">
      <w:bodyDiv w:val="1"/>
      <w:marLeft w:val="0"/>
      <w:marRight w:val="0"/>
      <w:marTop w:val="0"/>
      <w:marBottom w:val="0"/>
      <w:divBdr>
        <w:top w:val="none" w:sz="0" w:space="0" w:color="auto"/>
        <w:left w:val="none" w:sz="0" w:space="0" w:color="auto"/>
        <w:bottom w:val="none" w:sz="0" w:space="0" w:color="auto"/>
        <w:right w:val="none" w:sz="0" w:space="0" w:color="auto"/>
      </w:divBdr>
    </w:div>
    <w:div w:id="1053044921">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253971948">
      <w:bodyDiv w:val="1"/>
      <w:marLeft w:val="0"/>
      <w:marRight w:val="0"/>
      <w:marTop w:val="0"/>
      <w:marBottom w:val="0"/>
      <w:divBdr>
        <w:top w:val="none" w:sz="0" w:space="0" w:color="auto"/>
        <w:left w:val="none" w:sz="0" w:space="0" w:color="auto"/>
        <w:bottom w:val="none" w:sz="0" w:space="0" w:color="auto"/>
        <w:right w:val="none" w:sz="0" w:space="0" w:color="auto"/>
      </w:divBdr>
    </w:div>
    <w:div w:id="1257328723">
      <w:bodyDiv w:val="1"/>
      <w:marLeft w:val="0"/>
      <w:marRight w:val="0"/>
      <w:marTop w:val="0"/>
      <w:marBottom w:val="0"/>
      <w:divBdr>
        <w:top w:val="none" w:sz="0" w:space="0" w:color="auto"/>
        <w:left w:val="none" w:sz="0" w:space="0" w:color="auto"/>
        <w:bottom w:val="none" w:sz="0" w:space="0" w:color="auto"/>
        <w:right w:val="none" w:sz="0" w:space="0" w:color="auto"/>
      </w:divBdr>
    </w:div>
    <w:div w:id="1276713174">
      <w:bodyDiv w:val="1"/>
      <w:marLeft w:val="0"/>
      <w:marRight w:val="0"/>
      <w:marTop w:val="0"/>
      <w:marBottom w:val="0"/>
      <w:divBdr>
        <w:top w:val="none" w:sz="0" w:space="0" w:color="auto"/>
        <w:left w:val="none" w:sz="0" w:space="0" w:color="auto"/>
        <w:bottom w:val="none" w:sz="0" w:space="0" w:color="auto"/>
        <w:right w:val="none" w:sz="0" w:space="0" w:color="auto"/>
      </w:divBdr>
    </w:div>
    <w:div w:id="1290553290">
      <w:bodyDiv w:val="1"/>
      <w:marLeft w:val="0"/>
      <w:marRight w:val="0"/>
      <w:marTop w:val="0"/>
      <w:marBottom w:val="0"/>
      <w:divBdr>
        <w:top w:val="none" w:sz="0" w:space="0" w:color="auto"/>
        <w:left w:val="none" w:sz="0" w:space="0" w:color="auto"/>
        <w:bottom w:val="none" w:sz="0" w:space="0" w:color="auto"/>
        <w:right w:val="none" w:sz="0" w:space="0" w:color="auto"/>
      </w:divBdr>
    </w:div>
    <w:div w:id="1308239046">
      <w:bodyDiv w:val="1"/>
      <w:marLeft w:val="0"/>
      <w:marRight w:val="0"/>
      <w:marTop w:val="0"/>
      <w:marBottom w:val="0"/>
      <w:divBdr>
        <w:top w:val="none" w:sz="0" w:space="0" w:color="auto"/>
        <w:left w:val="none" w:sz="0" w:space="0" w:color="auto"/>
        <w:bottom w:val="none" w:sz="0" w:space="0" w:color="auto"/>
        <w:right w:val="none" w:sz="0" w:space="0" w:color="auto"/>
      </w:divBdr>
    </w:div>
    <w:div w:id="1449200715">
      <w:bodyDiv w:val="1"/>
      <w:marLeft w:val="0"/>
      <w:marRight w:val="0"/>
      <w:marTop w:val="0"/>
      <w:marBottom w:val="0"/>
      <w:divBdr>
        <w:top w:val="none" w:sz="0" w:space="0" w:color="auto"/>
        <w:left w:val="none" w:sz="0" w:space="0" w:color="auto"/>
        <w:bottom w:val="none" w:sz="0" w:space="0" w:color="auto"/>
        <w:right w:val="none" w:sz="0" w:space="0" w:color="auto"/>
      </w:divBdr>
    </w:div>
    <w:div w:id="1527795695">
      <w:bodyDiv w:val="1"/>
      <w:marLeft w:val="0"/>
      <w:marRight w:val="0"/>
      <w:marTop w:val="0"/>
      <w:marBottom w:val="0"/>
      <w:divBdr>
        <w:top w:val="none" w:sz="0" w:space="0" w:color="auto"/>
        <w:left w:val="none" w:sz="0" w:space="0" w:color="auto"/>
        <w:bottom w:val="none" w:sz="0" w:space="0" w:color="auto"/>
        <w:right w:val="none" w:sz="0" w:space="0" w:color="auto"/>
      </w:divBdr>
    </w:div>
    <w:div w:id="1549029416">
      <w:bodyDiv w:val="1"/>
      <w:marLeft w:val="0"/>
      <w:marRight w:val="0"/>
      <w:marTop w:val="0"/>
      <w:marBottom w:val="0"/>
      <w:divBdr>
        <w:top w:val="none" w:sz="0" w:space="0" w:color="auto"/>
        <w:left w:val="none" w:sz="0" w:space="0" w:color="auto"/>
        <w:bottom w:val="none" w:sz="0" w:space="0" w:color="auto"/>
        <w:right w:val="none" w:sz="0" w:space="0" w:color="auto"/>
      </w:divBdr>
    </w:div>
    <w:div w:id="1552111092">
      <w:bodyDiv w:val="1"/>
      <w:marLeft w:val="0"/>
      <w:marRight w:val="0"/>
      <w:marTop w:val="0"/>
      <w:marBottom w:val="0"/>
      <w:divBdr>
        <w:top w:val="none" w:sz="0" w:space="0" w:color="auto"/>
        <w:left w:val="none" w:sz="0" w:space="0" w:color="auto"/>
        <w:bottom w:val="none" w:sz="0" w:space="0" w:color="auto"/>
        <w:right w:val="none" w:sz="0" w:space="0" w:color="auto"/>
      </w:divBdr>
    </w:div>
    <w:div w:id="1562135162">
      <w:bodyDiv w:val="1"/>
      <w:marLeft w:val="0"/>
      <w:marRight w:val="0"/>
      <w:marTop w:val="0"/>
      <w:marBottom w:val="0"/>
      <w:divBdr>
        <w:top w:val="none" w:sz="0" w:space="0" w:color="auto"/>
        <w:left w:val="none" w:sz="0" w:space="0" w:color="auto"/>
        <w:bottom w:val="none" w:sz="0" w:space="0" w:color="auto"/>
        <w:right w:val="none" w:sz="0" w:space="0" w:color="auto"/>
      </w:divBdr>
    </w:div>
    <w:div w:id="1643923289">
      <w:bodyDiv w:val="1"/>
      <w:marLeft w:val="0"/>
      <w:marRight w:val="0"/>
      <w:marTop w:val="0"/>
      <w:marBottom w:val="0"/>
      <w:divBdr>
        <w:top w:val="none" w:sz="0" w:space="0" w:color="auto"/>
        <w:left w:val="none" w:sz="0" w:space="0" w:color="auto"/>
        <w:bottom w:val="none" w:sz="0" w:space="0" w:color="auto"/>
        <w:right w:val="none" w:sz="0" w:space="0" w:color="auto"/>
      </w:divBdr>
    </w:div>
    <w:div w:id="1778718535">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 w:id="1790279280">
      <w:bodyDiv w:val="1"/>
      <w:marLeft w:val="0"/>
      <w:marRight w:val="0"/>
      <w:marTop w:val="0"/>
      <w:marBottom w:val="0"/>
      <w:divBdr>
        <w:top w:val="none" w:sz="0" w:space="0" w:color="auto"/>
        <w:left w:val="none" w:sz="0" w:space="0" w:color="auto"/>
        <w:bottom w:val="none" w:sz="0" w:space="0" w:color="auto"/>
        <w:right w:val="none" w:sz="0" w:space="0" w:color="auto"/>
      </w:divBdr>
    </w:div>
    <w:div w:id="1826049153">
      <w:bodyDiv w:val="1"/>
      <w:marLeft w:val="0"/>
      <w:marRight w:val="0"/>
      <w:marTop w:val="0"/>
      <w:marBottom w:val="0"/>
      <w:divBdr>
        <w:top w:val="none" w:sz="0" w:space="0" w:color="auto"/>
        <w:left w:val="none" w:sz="0" w:space="0" w:color="auto"/>
        <w:bottom w:val="none" w:sz="0" w:space="0" w:color="auto"/>
        <w:right w:val="none" w:sz="0" w:space="0" w:color="auto"/>
      </w:divBdr>
    </w:div>
    <w:div w:id="1857113729">
      <w:bodyDiv w:val="1"/>
      <w:marLeft w:val="0"/>
      <w:marRight w:val="0"/>
      <w:marTop w:val="0"/>
      <w:marBottom w:val="0"/>
      <w:divBdr>
        <w:top w:val="none" w:sz="0" w:space="0" w:color="auto"/>
        <w:left w:val="none" w:sz="0" w:space="0" w:color="auto"/>
        <w:bottom w:val="none" w:sz="0" w:space="0" w:color="auto"/>
        <w:right w:val="none" w:sz="0" w:space="0" w:color="auto"/>
      </w:divBdr>
    </w:div>
    <w:div w:id="1881094006">
      <w:bodyDiv w:val="1"/>
      <w:marLeft w:val="0"/>
      <w:marRight w:val="0"/>
      <w:marTop w:val="0"/>
      <w:marBottom w:val="0"/>
      <w:divBdr>
        <w:top w:val="none" w:sz="0" w:space="0" w:color="auto"/>
        <w:left w:val="none" w:sz="0" w:space="0" w:color="auto"/>
        <w:bottom w:val="none" w:sz="0" w:space="0" w:color="auto"/>
        <w:right w:val="none" w:sz="0" w:space="0" w:color="auto"/>
      </w:divBdr>
    </w:div>
    <w:div w:id="1935819696">
      <w:bodyDiv w:val="1"/>
      <w:marLeft w:val="0"/>
      <w:marRight w:val="0"/>
      <w:marTop w:val="0"/>
      <w:marBottom w:val="0"/>
      <w:divBdr>
        <w:top w:val="none" w:sz="0" w:space="0" w:color="auto"/>
        <w:left w:val="none" w:sz="0" w:space="0" w:color="auto"/>
        <w:bottom w:val="none" w:sz="0" w:space="0" w:color="auto"/>
        <w:right w:val="none" w:sz="0" w:space="0" w:color="auto"/>
      </w:divBdr>
    </w:div>
    <w:div w:id="19550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chinh05196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9548</Words>
  <Characters>54430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bslanggpb@gmail.com</dc:creator>
  <cp:keywords/>
  <dc:description/>
  <cp:lastModifiedBy>bslanggpb@gmail.com</cp:lastModifiedBy>
  <cp:revision>21</cp:revision>
  <dcterms:created xsi:type="dcterms:W3CDTF">2025-03-20T21:33:00Z</dcterms:created>
  <dcterms:modified xsi:type="dcterms:W3CDTF">2025-03-23T16:17:00Z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id="XQ5krhnV"/&gt;&lt;style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