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SO SÁNH VIỆC LẬP KẾ HOẠCH ĐIỀU TRỊ XẠ PHẪU BƯỚU </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DI CĂN NÃO SRS GIỮA KỸ THUẬT VMAT VÀ KỸ THUẬT DCAT</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TẠI BỆNH VIỆN UNG BƯỚU TP. HCM</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Nguyễn Ngọc Hoài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Ngô Trung Nghĩa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i w:val="0"/>
          <w:vertAlign w:val="baseline"/>
        </w:rPr>
      </w:pPr>
      <w:r w:rsidDel="00000000" w:rsidR="00000000" w:rsidRPr="00000000">
        <w:rPr>
          <w:i w:val="1"/>
          <w:vertAlign w:val="superscript"/>
          <w:rtl w:val="0"/>
        </w:rPr>
        <w:t xml:space="preserve">1</w:t>
      </w:r>
      <w:r w:rsidDel="00000000" w:rsidR="00000000" w:rsidRPr="00000000">
        <w:rPr>
          <w:i w:val="1"/>
          <w:vertAlign w:val="baseline"/>
          <w:rtl w:val="0"/>
        </w:rPr>
        <w:t xml:space="preserve">Đại học Khoa học tự nhiên – Đại học Quốc gia TP. HCM</w:t>
      </w:r>
      <w:r w:rsidDel="00000000" w:rsidR="00000000" w:rsidRPr="00000000">
        <w:rPr>
          <w:rtl w:val="0"/>
        </w:rPr>
      </w:r>
    </w:p>
    <w:p w:rsidR="00000000" w:rsidDel="00000000" w:rsidP="00000000" w:rsidRDefault="00000000" w:rsidRPr="00000000" w14:paraId="00000008">
      <w:pPr>
        <w:rPr>
          <w:i w:val="0"/>
          <w:vertAlign w:val="baseline"/>
        </w:rPr>
      </w:pPr>
      <w:r w:rsidDel="00000000" w:rsidR="00000000" w:rsidRPr="00000000">
        <w:rPr>
          <w:i w:val="1"/>
          <w:vertAlign w:val="superscript"/>
          <w:rtl w:val="0"/>
        </w:rPr>
        <w:t xml:space="preserve">2</w:t>
      </w:r>
      <w:r w:rsidDel="00000000" w:rsidR="00000000" w:rsidRPr="00000000">
        <w:rPr>
          <w:i w:val="1"/>
          <w:vertAlign w:val="baseline"/>
          <w:rtl w:val="0"/>
        </w:rPr>
        <w:t xml:space="preserve">Khoa Kỹ thuật phóng xạ – Bệnh viện Ung Bướu TP. HCM</w:t>
      </w:r>
      <w:r w:rsidDel="00000000" w:rsidR="00000000" w:rsidRPr="00000000">
        <w:rPr>
          <w:rtl w:val="0"/>
        </w:rPr>
      </w:r>
    </w:p>
    <w:p w:rsidR="00000000" w:rsidDel="00000000" w:rsidP="00000000" w:rsidRDefault="00000000" w:rsidRPr="00000000" w14:paraId="00000009">
      <w:pPr>
        <w:spacing w:line="312" w:lineRule="auto"/>
        <w:rPr>
          <w:i w:val="0"/>
          <w:vertAlign w:val="baseline"/>
        </w:rPr>
      </w:pPr>
      <w:r w:rsidDel="00000000" w:rsidR="00000000" w:rsidRPr="00000000">
        <w:rPr>
          <w:rtl w:val="0"/>
        </w:rPr>
      </w:r>
    </w:p>
    <w:p w:rsidR="00000000" w:rsidDel="00000000" w:rsidP="00000000" w:rsidRDefault="00000000" w:rsidRPr="00000000" w14:paraId="0000000A">
      <w:pPr>
        <w:spacing w:line="312" w:lineRule="auto"/>
        <w:rPr>
          <w:i w:val="0"/>
          <w:vertAlign w:val="baseline"/>
        </w:rPr>
      </w:pPr>
      <w:r w:rsidDel="00000000" w:rsidR="00000000" w:rsidRPr="00000000">
        <w:rPr>
          <w:i w:val="1"/>
          <w:vertAlign w:val="baseline"/>
          <w:rtl w:val="0"/>
        </w:rPr>
        <w:t xml:space="preserve">Chịu trách nhiệm chính: Nguyễn Ngọc Hoài</w:t>
      </w:r>
      <w:r w:rsidDel="00000000" w:rsidR="00000000" w:rsidRPr="00000000">
        <w:rPr>
          <w:rtl w:val="0"/>
        </w:rPr>
      </w:r>
    </w:p>
    <w:p w:rsidR="00000000" w:rsidDel="00000000" w:rsidP="00000000" w:rsidRDefault="00000000" w:rsidRPr="00000000" w14:paraId="0000000B">
      <w:pPr>
        <w:spacing w:line="312" w:lineRule="auto"/>
        <w:rPr>
          <w:i w:val="0"/>
          <w:vertAlign w:val="baseline"/>
        </w:rPr>
      </w:pPr>
      <w:r w:rsidDel="00000000" w:rsidR="00000000" w:rsidRPr="00000000">
        <w:rPr>
          <w:i w:val="1"/>
          <w:vertAlign w:val="baseline"/>
          <w:rtl w:val="0"/>
        </w:rPr>
        <w:t xml:space="preserve">Email: </w:t>
      </w:r>
      <w:hyperlink r:id="rId7">
        <w:r w:rsidDel="00000000" w:rsidR="00000000" w:rsidRPr="00000000">
          <w:rPr>
            <w:i w:val="1"/>
            <w:color w:val="0563c1"/>
            <w:u w:val="single"/>
            <w:vertAlign w:val="baseline"/>
            <w:rtl w:val="0"/>
          </w:rPr>
          <w:t xml:space="preserve">nguyenngochoai2k2@gmail.com</w:t>
        </w:r>
      </w:hyperlink>
      <w:r w:rsidDel="00000000" w:rsidR="00000000" w:rsidRPr="00000000">
        <w:rPr>
          <w:rtl w:val="0"/>
        </w:rPr>
      </w:r>
    </w:p>
    <w:p w:rsidR="00000000" w:rsidDel="00000000" w:rsidP="00000000" w:rsidRDefault="00000000" w:rsidRPr="00000000" w14:paraId="0000000C">
      <w:pPr>
        <w:spacing w:line="312" w:lineRule="auto"/>
        <w:rPr>
          <w:i w:val="0"/>
          <w:vertAlign w:val="baseline"/>
        </w:rPr>
      </w:pPr>
      <w:r w:rsidDel="00000000" w:rsidR="00000000" w:rsidRPr="00000000">
        <w:rPr>
          <w:rtl w:val="0"/>
        </w:rPr>
      </w:r>
    </w:p>
    <w:p w:rsidR="00000000" w:rsidDel="00000000" w:rsidP="00000000" w:rsidRDefault="00000000" w:rsidRPr="00000000" w14:paraId="0000000D">
      <w:pPr>
        <w:spacing w:line="312" w:lineRule="auto"/>
        <w:rPr>
          <w:vertAlign w:val="baseline"/>
        </w:rPr>
      </w:pPr>
      <w:r w:rsidDel="00000000" w:rsidR="00000000" w:rsidRPr="00000000">
        <w:rPr>
          <w:vertAlign w:val="baseline"/>
          <w:rtl w:val="0"/>
        </w:rPr>
        <w:t xml:space="preserve">Ngày nhận bài: 04/9/2024</w:t>
      </w:r>
    </w:p>
    <w:p w:rsidR="00000000" w:rsidDel="00000000" w:rsidP="00000000" w:rsidRDefault="00000000" w:rsidRPr="00000000" w14:paraId="0000000E">
      <w:pPr>
        <w:spacing w:line="312" w:lineRule="auto"/>
        <w:rPr>
          <w:vertAlign w:val="baseline"/>
        </w:rPr>
      </w:pPr>
      <w:r w:rsidDel="00000000" w:rsidR="00000000" w:rsidRPr="00000000">
        <w:rPr>
          <w:vertAlign w:val="baseline"/>
          <w:rtl w:val="0"/>
        </w:rPr>
        <w:t xml:space="preserve">Ngày phản biện: 10/9/2024</w:t>
      </w:r>
    </w:p>
    <w:p w:rsidR="00000000" w:rsidDel="00000000" w:rsidP="00000000" w:rsidRDefault="00000000" w:rsidRPr="00000000" w14:paraId="0000000F">
      <w:pPr>
        <w:spacing w:line="312" w:lineRule="auto"/>
        <w:rPr>
          <w:vertAlign w:val="baseline"/>
        </w:rPr>
      </w:pPr>
      <w:r w:rsidDel="00000000" w:rsidR="00000000" w:rsidRPr="00000000">
        <w:rPr>
          <w:vertAlign w:val="baseline"/>
          <w:rtl w:val="0"/>
        </w:rPr>
        <w:t xml:space="preserve">Ngày chấp nhận đăng:</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b w:val="0"/>
          <w:vertAlign w:val="baseline"/>
        </w:rPr>
      </w:pPr>
      <w:r w:rsidDel="00000000" w:rsidR="00000000" w:rsidRPr="00000000">
        <w:rPr>
          <w:b w:val="1"/>
          <w:vertAlign w:val="baseline"/>
          <w:rtl w:val="0"/>
        </w:rPr>
        <w:t xml:space="preserve">TÓM TẮT</w:t>
      </w:r>
      <w:r w:rsidDel="00000000" w:rsidR="00000000" w:rsidRPr="00000000">
        <w:rPr>
          <w:rtl w:val="0"/>
        </w:rPr>
      </w:r>
    </w:p>
    <w:p w:rsidR="00000000" w:rsidDel="00000000" w:rsidP="00000000" w:rsidRDefault="00000000" w:rsidRPr="00000000" w14:paraId="00000012">
      <w:pPr>
        <w:ind w:firstLine="284"/>
        <w:rPr>
          <w:vertAlign w:val="baseline"/>
        </w:rPr>
      </w:pPr>
      <w:r w:rsidDel="00000000" w:rsidR="00000000" w:rsidRPr="00000000">
        <w:rPr>
          <w:b w:val="1"/>
          <w:vertAlign w:val="baseline"/>
          <w:rtl w:val="0"/>
        </w:rPr>
        <w:t xml:space="preserve">Mục tiêu:</w:t>
      </w:r>
      <w:r w:rsidDel="00000000" w:rsidR="00000000" w:rsidRPr="00000000">
        <w:rPr>
          <w:vertAlign w:val="baseline"/>
          <w:rtl w:val="0"/>
        </w:rPr>
        <w:t xml:space="preserve"> So sánh và đánh giá </w:t>
      </w:r>
      <w:r w:rsidDel="00000000" w:rsidR="00000000" w:rsidRPr="00000000">
        <w:rPr>
          <w:highlight w:val="red"/>
          <w:vertAlign w:val="baseline"/>
          <w:rtl w:val="0"/>
        </w:rPr>
        <w:t xml:space="preserve">tính phù hợp của liều vào mô đích, cũng như mức độ đáp ứng liều trên mô đích và mô lành</w:t>
      </w:r>
      <w:r w:rsidDel="00000000" w:rsidR="00000000" w:rsidRPr="00000000">
        <w:rPr>
          <w:vertAlign w:val="baseline"/>
          <w:rtl w:val="0"/>
        </w:rPr>
        <w:t xml:space="preserve"> giữa hai kế hoạch xạ phẫu não SRS (Stereotactic Radiosurgery) sử dụng kỹ thuật xạ trị điều biến thể tích hình vòng cung VMAT (Volumetric Modulated Arc Therapy) và kỹ thuật xạ trị cung tròn phù hợp động DCAT (Dynamic Conformal Arc Therapy). Qua đó, đề xuất phương pháp điều trị tối ưu cho bệnh nhân.</w:t>
      </w:r>
    </w:p>
    <w:p w:rsidR="00000000" w:rsidDel="00000000" w:rsidP="00000000" w:rsidRDefault="00000000" w:rsidRPr="00000000" w14:paraId="00000013">
      <w:pPr>
        <w:ind w:firstLine="284"/>
        <w:rPr>
          <w:vertAlign w:val="baseline"/>
        </w:rPr>
      </w:pPr>
      <w:r w:rsidDel="00000000" w:rsidR="00000000" w:rsidRPr="00000000">
        <w:rPr>
          <w:b w:val="1"/>
          <w:vertAlign w:val="baseline"/>
          <w:rtl w:val="0"/>
        </w:rPr>
        <w:t xml:space="preserve">Đối tượng và phương pháp:</w:t>
      </w:r>
      <w:r w:rsidDel="00000000" w:rsidR="00000000" w:rsidRPr="00000000">
        <w:rPr>
          <w:vertAlign w:val="baseline"/>
          <w:rtl w:val="0"/>
        </w:rPr>
        <w:t xml:space="preserve"> Dữ liệu và kết quả lập kế hoạch điều trị xạ phẫu bằng kỹ thuật VMAT của 31 bệnh nhân ung thư di căn não đơn ổ đã được điều trị tại Bệnh viện Ung Bướu TP. HCM với liều xạ 27Gy/3 phân liều. Các kế hoạch này được sử dụng lại để lập kế hoạch bằng kỹ thuật DCAT. Tiến hành so sánh và đánh giá độ tối ưu giữa hai loại kế hoạch. Từ đó, rút ra ưu điểm và hạn chế của từng kỹ thuật trong điều trị xạ phẫu cho ung thư di căn não.</w:t>
      </w:r>
    </w:p>
    <w:p w:rsidR="00000000" w:rsidDel="00000000" w:rsidP="00000000" w:rsidRDefault="00000000" w:rsidRPr="00000000" w14:paraId="00000014">
      <w:pPr>
        <w:ind w:firstLine="284"/>
        <w:rPr>
          <w:vertAlign w:val="baseline"/>
        </w:rPr>
      </w:pPr>
      <w:r w:rsidDel="00000000" w:rsidR="00000000" w:rsidRPr="00000000">
        <w:rPr>
          <w:b w:val="1"/>
          <w:vertAlign w:val="baseline"/>
          <w:rtl w:val="0"/>
        </w:rPr>
        <w:t xml:space="preserve">Kết quả:</w:t>
      </w:r>
      <w:r w:rsidDel="00000000" w:rsidR="00000000" w:rsidRPr="00000000">
        <w:rPr>
          <w:vertAlign w:val="baseline"/>
          <w:rtl w:val="0"/>
        </w:rPr>
        <w:t xml:space="preserve"> Kế hoạch xạ phẫu bằng kỹ thuật VMAT tạo phân bố liều phù hợp với mô đích hơn so với kế hoạch xạ phẫu bằng kỹ thuật DCAT. Đồng thời, kế hoạch VMAT cũng hiệu quả hơn trong việc bảo vệ mô lành và giảm liều nhanh khi ra ngoài thể tích điều trị (PTV). Số MU (Monitor Unit – Đơn vị máy) của kế hoạch VMAT lớn gấp đôi so với kế hoạch DCAT.</w:t>
      </w:r>
    </w:p>
    <w:p w:rsidR="00000000" w:rsidDel="00000000" w:rsidP="00000000" w:rsidRDefault="00000000" w:rsidRPr="00000000" w14:paraId="00000015">
      <w:pPr>
        <w:ind w:firstLine="284"/>
        <w:rPr>
          <w:vertAlign w:val="baseline"/>
        </w:rPr>
      </w:pPr>
      <w:r w:rsidDel="00000000" w:rsidR="00000000" w:rsidRPr="00000000">
        <w:rPr>
          <w:b w:val="1"/>
          <w:vertAlign w:val="baseline"/>
          <w:rtl w:val="0"/>
        </w:rPr>
        <w:t xml:space="preserve">Kết luận:</w:t>
      </w:r>
      <w:r w:rsidDel="00000000" w:rsidR="00000000" w:rsidRPr="00000000">
        <w:rPr>
          <w:vertAlign w:val="baseline"/>
          <w:rtl w:val="0"/>
        </w:rPr>
        <w:t xml:space="preserve"> Kế hoạch xạ phẫu bằng kỹ thuật VMAT phù hợp với các thể tích điều trị lớn có hình dạng không đồng đều và có cơ quan quý gần PTV. Tuy nhiên, xạ phẫu bằng kỹ thuật DCAT có lợi thế với các thể tích điều trị nhỏ đến rất nhỏ và có hình dạng tương đối tròn đều và có cơ quan quý xa PTV. Thời gian điều trị của kế hoạch VMAT gấp đôi so với kế hoạch DCAT.</w:t>
      </w:r>
    </w:p>
    <w:p w:rsidR="00000000" w:rsidDel="00000000" w:rsidP="00000000" w:rsidRDefault="00000000" w:rsidRPr="00000000" w14:paraId="00000016">
      <w:pPr>
        <w:ind w:firstLine="284"/>
        <w:rPr>
          <w:vertAlign w:val="baseline"/>
        </w:rPr>
      </w:pPr>
      <w:r w:rsidDel="00000000" w:rsidR="00000000" w:rsidRPr="00000000">
        <w:rPr>
          <w:b w:val="1"/>
          <w:i w:val="1"/>
          <w:vertAlign w:val="baseline"/>
          <w:rtl w:val="0"/>
        </w:rPr>
        <w:t xml:space="preserve">Từ khóa:</w:t>
      </w:r>
      <w:r w:rsidDel="00000000" w:rsidR="00000000" w:rsidRPr="00000000">
        <w:rPr>
          <w:vertAlign w:val="baseline"/>
          <w:rtl w:val="0"/>
        </w:rPr>
        <w:t xml:space="preserve"> Xạ phẫu lập thể, DCAT, VMAT.</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SUMMARY</w:t>
      </w:r>
      <w:r w:rsidDel="00000000" w:rsidR="00000000" w:rsidRPr="00000000">
        <w:rPr>
          <w:rtl w:val="0"/>
        </w:rPr>
      </w:r>
    </w:p>
    <w:p w:rsidR="00000000" w:rsidDel="00000000" w:rsidP="00000000" w:rsidRDefault="00000000" w:rsidRPr="00000000" w14:paraId="00000019">
      <w:pPr>
        <w:jc w:val="center"/>
        <w:rPr>
          <w:b w:val="0"/>
          <w:vertAlign w:val="baseline"/>
        </w:rPr>
      </w:pPr>
      <w:r w:rsidDel="00000000" w:rsidR="00000000" w:rsidRPr="00000000">
        <w:rPr>
          <w:b w:val="1"/>
          <w:vertAlign w:val="baseline"/>
          <w:rtl w:val="0"/>
        </w:rPr>
        <w:t xml:space="preserve">COMPARISON OF STEREOTACTIC RADIOSURGERY TREATMENT PLANNING </w:t>
      </w:r>
      <w:r w:rsidDel="00000000" w:rsidR="00000000" w:rsidRPr="00000000">
        <w:rPr>
          <w:rtl w:val="0"/>
        </w:rPr>
      </w:r>
    </w:p>
    <w:p w:rsidR="00000000" w:rsidDel="00000000" w:rsidP="00000000" w:rsidRDefault="00000000" w:rsidRPr="00000000" w14:paraId="0000001A">
      <w:pPr>
        <w:jc w:val="center"/>
        <w:rPr>
          <w:b w:val="0"/>
          <w:vertAlign w:val="baseline"/>
        </w:rPr>
      </w:pPr>
      <w:r w:rsidDel="00000000" w:rsidR="00000000" w:rsidRPr="00000000">
        <w:rPr>
          <w:b w:val="1"/>
          <w:vertAlign w:val="baseline"/>
          <w:rtl w:val="0"/>
        </w:rPr>
        <w:t xml:space="preserve">FOR BRAIN METASTASES USING VMAT AND DCAT TECHNIQUES </w:t>
      </w:r>
      <w:r w:rsidDel="00000000" w:rsidR="00000000" w:rsidRPr="00000000">
        <w:rPr>
          <w:rtl w:val="0"/>
        </w:rPr>
      </w:r>
    </w:p>
    <w:p w:rsidR="00000000" w:rsidDel="00000000" w:rsidP="00000000" w:rsidRDefault="00000000" w:rsidRPr="00000000" w14:paraId="0000001B">
      <w:pPr>
        <w:jc w:val="center"/>
        <w:rPr>
          <w:b w:val="0"/>
          <w:vertAlign w:val="baseline"/>
        </w:rPr>
      </w:pPr>
      <w:r w:rsidDel="00000000" w:rsidR="00000000" w:rsidRPr="00000000">
        <w:rPr>
          <w:b w:val="1"/>
          <w:vertAlign w:val="baseline"/>
          <w:rtl w:val="0"/>
        </w:rPr>
        <w:t xml:space="preserve">AT HO CHI MINH CITY ONCOLOGY HOSPITAL</w:t>
      </w:r>
      <w:r w:rsidDel="00000000" w:rsidR="00000000" w:rsidRPr="00000000">
        <w:rPr>
          <w:rtl w:val="0"/>
        </w:rPr>
      </w:r>
    </w:p>
    <w:p w:rsidR="00000000" w:rsidDel="00000000" w:rsidP="00000000" w:rsidRDefault="00000000" w:rsidRPr="00000000" w14:paraId="0000001C">
      <w:pPr>
        <w:ind w:firstLine="284"/>
        <w:rPr>
          <w:vertAlign w:val="baseline"/>
        </w:rPr>
      </w:pPr>
      <w:r w:rsidDel="00000000" w:rsidR="00000000" w:rsidRPr="00000000">
        <w:rPr>
          <w:b w:val="1"/>
          <w:vertAlign w:val="baseline"/>
          <w:rtl w:val="0"/>
        </w:rPr>
        <w:t xml:space="preserve">Target:</w:t>
      </w:r>
      <w:r w:rsidDel="00000000" w:rsidR="00000000" w:rsidRPr="00000000">
        <w:rPr>
          <w:vertAlign w:val="baseline"/>
          <w:rtl w:val="0"/>
        </w:rPr>
        <w:t xml:space="preserve"> To compare and evaluate the conformity of dose delivery to the target tissue, as well as the dose response in the target tissue and healthy tissue, between two stereotactic radiosurgery (SRS) treatment plans utilizing volumetric modulated arc therapy (VMAT) and dynamic conformal arc therapy (DCAT). Furthermore, to propose the optimal treatment method for patients.</w:t>
      </w:r>
    </w:p>
    <w:p w:rsidR="00000000" w:rsidDel="00000000" w:rsidP="00000000" w:rsidRDefault="00000000" w:rsidRPr="00000000" w14:paraId="0000001D">
      <w:pPr>
        <w:ind w:firstLine="284"/>
        <w:rPr>
          <w:vertAlign w:val="baseline"/>
        </w:rPr>
      </w:pPr>
      <w:r w:rsidDel="00000000" w:rsidR="00000000" w:rsidRPr="00000000">
        <w:rPr>
          <w:b w:val="1"/>
          <w:vertAlign w:val="baseline"/>
          <w:rtl w:val="0"/>
        </w:rPr>
        <w:t xml:space="preserve">Objects, methods:</w:t>
      </w:r>
      <w:r w:rsidDel="00000000" w:rsidR="00000000" w:rsidRPr="00000000">
        <w:rPr>
          <w:vertAlign w:val="baseline"/>
          <w:rtl w:val="0"/>
        </w:rPr>
        <w:t xml:space="preserve"> Data and treatment planning results from VMAT-based stereotactic radiosurgery in 31 patients with the single brain metastasis, which were treated at Ho Chi Minh City Oncology Hospital with a dose of 27Gy/3 fractions, were utilized. These plans were re-used to create corresponding plans using the DCAT technique. A comparative analysis was conducted to evaluate the optimization of both types of plans. The strengths and limitations of each technique in the treatment of brain metastases were then identified.</w:t>
      </w:r>
    </w:p>
    <w:p w:rsidR="00000000" w:rsidDel="00000000" w:rsidP="00000000" w:rsidRDefault="00000000" w:rsidRPr="00000000" w14:paraId="0000001E">
      <w:pPr>
        <w:ind w:firstLine="284"/>
        <w:rPr>
          <w:vertAlign w:val="baseline"/>
        </w:rPr>
      </w:pPr>
      <w:r w:rsidDel="00000000" w:rsidR="00000000" w:rsidRPr="00000000">
        <w:rPr>
          <w:b w:val="1"/>
          <w:vertAlign w:val="baseline"/>
          <w:rtl w:val="0"/>
        </w:rPr>
        <w:t xml:space="preserve">Results:</w:t>
      </w:r>
      <w:r w:rsidDel="00000000" w:rsidR="00000000" w:rsidRPr="00000000">
        <w:rPr>
          <w:vertAlign w:val="baseline"/>
          <w:rtl w:val="0"/>
        </w:rPr>
        <w:t xml:space="preserve"> The VMAT-based radiosurgery plan achieved better dose conformity to the target tissues compared to the DCAT-based plan. Additionally, VMAT was more effective in sparing healthy tissues and in achieving a rapid dose fall-off outside the planning target volume (PTV). The Monitor Unit (MU) count for the VMAT plan was double that of the DCAT plan.</w:t>
      </w:r>
    </w:p>
    <w:p w:rsidR="00000000" w:rsidDel="00000000" w:rsidP="00000000" w:rsidRDefault="00000000" w:rsidRPr="00000000" w14:paraId="0000001F">
      <w:pPr>
        <w:ind w:firstLine="284"/>
        <w:rPr>
          <w:vertAlign w:val="baseline"/>
        </w:rPr>
      </w:pPr>
      <w:r w:rsidDel="00000000" w:rsidR="00000000" w:rsidRPr="00000000">
        <w:rPr>
          <w:b w:val="1"/>
          <w:vertAlign w:val="baseline"/>
          <w:rtl w:val="0"/>
        </w:rPr>
        <w:t xml:space="preserve">Conclusion:</w:t>
      </w:r>
      <w:r w:rsidDel="00000000" w:rsidR="00000000" w:rsidRPr="00000000">
        <w:rPr>
          <w:vertAlign w:val="baseline"/>
          <w:rtl w:val="0"/>
        </w:rPr>
        <w:t xml:space="preserve"> VMAT-based radiosurgery is more suitable for larger treatment volumes with irregular shapes and when critical organs are close to the PTV. However, DCAT-based radiosurgery has advantages in treating small to very small volumes with relatively round shapes and when critical organs are distant from the PTV. The treatment time for the VMAT plan is twice as long as that for the DCAT plan.</w:t>
      </w:r>
    </w:p>
    <w:p w:rsidR="00000000" w:rsidDel="00000000" w:rsidP="00000000" w:rsidRDefault="00000000" w:rsidRPr="00000000" w14:paraId="00000020">
      <w:pPr>
        <w:ind w:firstLine="284"/>
        <w:rPr>
          <w:vertAlign w:val="baseline"/>
        </w:rPr>
      </w:pPr>
      <w:r w:rsidDel="00000000" w:rsidR="00000000" w:rsidRPr="00000000">
        <w:rPr>
          <w:b w:val="1"/>
          <w:i w:val="1"/>
          <w:vertAlign w:val="baseline"/>
          <w:rtl w:val="0"/>
        </w:rPr>
        <w:t xml:space="preserve">Keywords:</w:t>
      </w:r>
      <w:r w:rsidDel="00000000" w:rsidR="00000000" w:rsidRPr="00000000">
        <w:rPr>
          <w:vertAlign w:val="baseline"/>
          <w:rtl w:val="0"/>
        </w:rPr>
        <w:t xml:space="preserve"> Stereotactic Radiosurgery, DCAT, VMAT.</w:t>
      </w:r>
    </w:p>
    <w:p w:rsidR="00000000" w:rsidDel="00000000" w:rsidP="00000000" w:rsidRDefault="00000000" w:rsidRPr="00000000" w14:paraId="00000021">
      <w:pPr>
        <w:ind w:firstLine="284"/>
        <w:rPr>
          <w:vertAlign w:val="baseline"/>
        </w:rPr>
      </w:pP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b w:val="1"/>
          <w:vertAlign w:val="baseline"/>
          <w:rtl w:val="0"/>
        </w:rPr>
        <w:t xml:space="preserve">I. ĐẶT VẤN ĐỀ</w:t>
      </w:r>
      <w:r w:rsidDel="00000000" w:rsidR="00000000" w:rsidRPr="00000000">
        <w:rPr>
          <w:rtl w:val="0"/>
        </w:rPr>
      </w:r>
    </w:p>
    <w:p w:rsidR="00000000" w:rsidDel="00000000" w:rsidP="00000000" w:rsidRDefault="00000000" w:rsidRPr="00000000" w14:paraId="00000023">
      <w:pPr>
        <w:ind w:firstLine="284"/>
        <w:rPr>
          <w:vertAlign w:val="baseline"/>
        </w:rPr>
      </w:pPr>
      <w:r w:rsidDel="00000000" w:rsidR="00000000" w:rsidRPr="00000000">
        <w:rPr>
          <w:vertAlign w:val="baseline"/>
          <w:rtl w:val="0"/>
        </w:rPr>
        <w:t xml:space="preserve">Trong bức tranh về sức khỏe toàn cầu hiện nay, bệnh ung thư đang là gánh nặng của thế giới, với hàng triệu ca mắc mới và tử vong mỗi năm. Đặc biệt, ung thư di căn não là một biến chứng nguy hiểm, có khả năng gây tổn thương nghiêm trọng đến chức năng thần kinh. Điều trị ung thư di căn não đòi hỏi phải tiêu diệt triệt để khối u, đồng thời bảo vệ các cấu trúc não quan trọng. Xạ phẫu lập thể đã trở thành phương pháp điều trị được ưu tiên nhờ khả năng tập trung liều xạ cao vào khối u nhỏ, giảm thiểu tổn thương mô lành xung quanh. Trong số các kỹ thuật xạ trị, kỹ thuật xạ trị điều biến liều theo thể tích cung tròn VMAT và kỹ thuật xạ trị cung tròn phù hợp động DCAT nổi bật với khả năng tối ưu hóa phân bố liều xạ. Kỹ thuật VMAT điều chỉnh chính xác liều xạ thông qua việc điều biến các lá MLC vào bên trong khối u, trong khi kỹ thuật DCAT tập trung duy trì hình dạng khối u trong suốt quá trình điều trị. </w:t>
      </w:r>
      <w:r w:rsidDel="00000000" w:rsidR="00000000" w:rsidRPr="00000000">
        <w:rPr>
          <w:highlight w:val="red"/>
          <w:vertAlign w:val="baseline"/>
          <w:rtl w:val="0"/>
        </w:rPr>
        <w:t xml:space="preserve">Vì thế, mục đích của nghiên cứu này là so sánh và đánh giá kế hoạch xạ phẫu não giữa kỹ thuật VMAT và kỹ thuật DCAT, nhằm cung cấp cho người lập kế hoạch và bác sĩ xạ trị trong việc lựa chọn phương pháp điều trị tối ưu cho bệnh nhân với từng vị trí, kích thước và hình dạng khối u trong khu vực nội sọ.</w:t>
      </w:r>
      <w:r w:rsidDel="00000000" w:rsidR="00000000" w:rsidRPr="00000000">
        <w:rPr>
          <w:rtl w:val="0"/>
        </w:rPr>
      </w:r>
    </w:p>
    <w:p w:rsidR="00000000" w:rsidDel="00000000" w:rsidP="00000000" w:rsidRDefault="00000000" w:rsidRPr="00000000" w14:paraId="00000024">
      <w:pPr>
        <w:ind w:firstLine="284"/>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b w:val="1"/>
          <w:vertAlign w:val="baseline"/>
          <w:rtl w:val="0"/>
        </w:rPr>
        <w:t xml:space="preserve">II.</w:t>
      </w:r>
      <w:r w:rsidDel="00000000" w:rsidR="00000000" w:rsidRPr="00000000">
        <w:rPr>
          <w:vertAlign w:val="baseline"/>
          <w:rtl w:val="0"/>
        </w:rPr>
        <w:t xml:space="preserve"> </w:t>
      </w:r>
      <w:r w:rsidDel="00000000" w:rsidR="00000000" w:rsidRPr="00000000">
        <w:rPr>
          <w:b w:val="1"/>
          <w:vertAlign w:val="baseline"/>
          <w:rtl w:val="0"/>
        </w:rPr>
        <w:t xml:space="preserve">ĐỐI TƯỢNG VÀ PHƯƠNG PHÁP NGHIÊN CỨU</w:t>
      </w:r>
      <w:r w:rsidDel="00000000" w:rsidR="00000000" w:rsidRPr="00000000">
        <w:rPr>
          <w:rtl w:val="0"/>
        </w:rPr>
      </w:r>
    </w:p>
    <w:p w:rsidR="00000000" w:rsidDel="00000000" w:rsidP="00000000" w:rsidRDefault="00000000" w:rsidRPr="00000000" w14:paraId="00000026">
      <w:pPr>
        <w:ind w:firstLine="284"/>
        <w:rPr>
          <w:vertAlign w:val="baseline"/>
        </w:rPr>
      </w:pPr>
      <w:r w:rsidDel="00000000" w:rsidR="00000000" w:rsidRPr="00000000">
        <w:rPr>
          <w:vertAlign w:val="baseline"/>
          <w:rtl w:val="0"/>
        </w:rPr>
        <w:t xml:space="preserve">Nhóm nghiên cứu tiến hành thống kê trên </w:t>
      </w:r>
      <w:commentRangeStart w:id="0"/>
      <w:commentRangeStart w:id="1"/>
      <w:commentRangeStart w:id="2"/>
      <w:r w:rsidDel="00000000" w:rsidR="00000000" w:rsidRPr="00000000">
        <w:rPr>
          <w:vertAlign w:val="baseline"/>
          <w:rtl w:val="0"/>
        </w:rPr>
        <w:t xml:space="preserve">31 bệnh nhân ung thư di căn não đơn ổ tại Bệnh viện Ung Bướu TP. HCM đã được xạ phẫu trên máy xạ trị gia tốc TrueBeam bằng kỹ thuật VMAT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vertAlign w:val="baseline"/>
          <w:rtl w:val="0"/>
        </w:rPr>
        <w:t xml:space="preserve">với liều xạ 27Gy/3 phân liều và được chia thành 3 nhóm. Dữ liệu thống kê bệnh nhân được thể hiện trong bảng 1.</w:t>
      </w:r>
    </w:p>
    <w:p w:rsidR="00000000" w:rsidDel="00000000" w:rsidP="00000000" w:rsidRDefault="00000000" w:rsidRPr="00000000" w14:paraId="00000027">
      <w:pPr>
        <w:jc w:val="center"/>
        <w:rPr>
          <w:b w:val="0"/>
          <w:i w:val="0"/>
          <w:vertAlign w:val="baseline"/>
        </w:rPr>
      </w:pPr>
      <w:r w:rsidDel="00000000" w:rsidR="00000000" w:rsidRPr="00000000">
        <w:rPr>
          <w:b w:val="1"/>
          <w:i w:val="1"/>
          <w:vertAlign w:val="baseline"/>
          <w:rtl w:val="0"/>
        </w:rPr>
        <w:t xml:space="preserve">Bảng 1. Thống kê dữ liệu của 31 ca bệnh nhân được chọn nguyên cứu</w:t>
      </w:r>
      <w:r w:rsidDel="00000000" w:rsidR="00000000" w:rsidRPr="00000000">
        <w:rPr>
          <w:rtl w:val="0"/>
        </w:rPr>
      </w:r>
    </w:p>
    <w:tbl>
      <w:tblPr>
        <w:tblStyle w:val="Table1"/>
        <w:tblW w:w="10350.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0"/>
        <w:gridCol w:w="2520"/>
        <w:gridCol w:w="2520"/>
        <w:gridCol w:w="2520"/>
        <w:tblGridChange w:id="0">
          <w:tblGrid>
            <w:gridCol w:w="2790"/>
            <w:gridCol w:w="2520"/>
            <w:gridCol w:w="2520"/>
            <w:gridCol w:w="2520"/>
          </w:tblGrid>
        </w:tblGridChange>
      </w:tblGrid>
      <w:tr>
        <w:trPr>
          <w:cantSplit w:val="0"/>
          <w:tblHeader w:val="0"/>
        </w:trPr>
        <w:tc>
          <w:tcPr>
            <w:vAlign w:val="center"/>
          </w:tcPr>
          <w:p w:rsidR="00000000" w:rsidDel="00000000" w:rsidP="00000000" w:rsidRDefault="00000000" w:rsidRPr="00000000" w14:paraId="00000028">
            <w:pPr>
              <w:jc w:val="center"/>
              <w:rPr>
                <w:b w:val="0"/>
                <w:vertAlign w:val="baseline"/>
              </w:rPr>
            </w:pPr>
            <w:r w:rsidDel="00000000" w:rsidR="00000000" w:rsidRPr="00000000">
              <w:rPr>
                <w:b w:val="1"/>
                <w:vertAlign w:val="baseline"/>
                <w:rtl w:val="0"/>
              </w:rPr>
              <w:t xml:space="preserve">Đặc điểm</w:t>
            </w:r>
            <w:r w:rsidDel="00000000" w:rsidR="00000000" w:rsidRPr="00000000">
              <w:rPr>
                <w:rtl w:val="0"/>
              </w:rPr>
            </w:r>
          </w:p>
        </w:tc>
        <w:tc>
          <w:tcPr>
            <w:vAlign w:val="center"/>
          </w:tcPr>
          <w:p w:rsidR="00000000" w:rsidDel="00000000" w:rsidP="00000000" w:rsidRDefault="00000000" w:rsidRPr="00000000" w14:paraId="00000029">
            <w:pPr>
              <w:jc w:val="center"/>
              <w:rPr>
                <w:b w:val="0"/>
                <w:vertAlign w:val="baseline"/>
              </w:rPr>
            </w:pPr>
            <w:r w:rsidDel="00000000" w:rsidR="00000000" w:rsidRPr="00000000">
              <w:rPr>
                <w:b w:val="1"/>
                <w:vertAlign w:val="baseline"/>
                <w:rtl w:val="0"/>
              </w:rPr>
              <w:t xml:space="preserve">PTV &lt; 2 cm</w:t>
            </w:r>
            <w:r w:rsidDel="00000000" w:rsidR="00000000" w:rsidRPr="00000000">
              <w:rPr>
                <w:b w:val="1"/>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02A">
            <w:pPr>
              <w:jc w:val="center"/>
              <w:rPr>
                <w:b w:val="0"/>
                <w:vertAlign w:val="baseline"/>
              </w:rPr>
            </w:pPr>
            <w:r w:rsidDel="00000000" w:rsidR="00000000" w:rsidRPr="00000000">
              <w:rPr>
                <w:b w:val="1"/>
                <w:vertAlign w:val="baseline"/>
                <w:rtl w:val="0"/>
              </w:rPr>
              <w:t xml:space="preserve">2 cm</w:t>
            </w:r>
            <w:r w:rsidDel="00000000" w:rsidR="00000000" w:rsidRPr="00000000">
              <w:rPr>
                <w:b w:val="1"/>
                <w:vertAlign w:val="superscript"/>
                <w:rtl w:val="0"/>
              </w:rPr>
              <w:t xml:space="preserve">3</w:t>
            </w:r>
            <w:r w:rsidDel="00000000" w:rsidR="00000000" w:rsidRPr="00000000">
              <w:rPr>
                <w:rFonts w:ascii="Gungsuh" w:cs="Gungsuh" w:eastAsia="Gungsuh" w:hAnsi="Gungsuh"/>
                <w:b w:val="1"/>
                <w:vertAlign w:val="baseline"/>
                <w:rtl w:val="0"/>
              </w:rPr>
              <w:t xml:space="preserve"> ≤ PTV ≤ 10 cm</w:t>
            </w:r>
            <w:r w:rsidDel="00000000" w:rsidR="00000000" w:rsidRPr="00000000">
              <w:rPr>
                <w:b w:val="1"/>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02B">
            <w:pPr>
              <w:jc w:val="center"/>
              <w:rPr>
                <w:b w:val="0"/>
                <w:vertAlign w:val="baseline"/>
              </w:rPr>
            </w:pPr>
            <w:r w:rsidDel="00000000" w:rsidR="00000000" w:rsidRPr="00000000">
              <w:rPr>
                <w:b w:val="1"/>
                <w:vertAlign w:val="baseline"/>
                <w:rtl w:val="0"/>
              </w:rPr>
              <w:t xml:space="preserve">PTV &gt; 10 cm</w:t>
            </w:r>
            <w:r w:rsidDel="00000000" w:rsidR="00000000" w:rsidRPr="00000000">
              <w:rPr>
                <w:b w:val="1"/>
                <w:vertAlign w:val="superscript"/>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rPr>
                <w:vertAlign w:val="baseline"/>
              </w:rPr>
            </w:pPr>
            <w:r w:rsidDel="00000000" w:rsidR="00000000" w:rsidRPr="00000000">
              <w:rPr>
                <w:vertAlign w:val="baseline"/>
                <w:rtl w:val="0"/>
              </w:rPr>
              <w:t xml:space="preserve">Kích thước PTV (cm)</w:t>
            </w:r>
          </w:p>
        </w:tc>
        <w:tc>
          <w:tcPr>
            <w:vAlign w:val="center"/>
          </w:tcPr>
          <w:p w:rsidR="00000000" w:rsidDel="00000000" w:rsidP="00000000" w:rsidRDefault="00000000" w:rsidRPr="00000000" w14:paraId="0000002D">
            <w:pPr>
              <w:jc w:val="center"/>
              <w:rPr>
                <w:vertAlign w:val="baseline"/>
              </w:rPr>
            </w:pPr>
            <w:r w:rsidDel="00000000" w:rsidR="00000000" w:rsidRPr="00000000">
              <w:rPr>
                <w:vertAlign w:val="baseline"/>
                <w:rtl w:val="0"/>
              </w:rPr>
              <w:t xml:space="preserve">0,78</w:t>
            </w:r>
          </w:p>
        </w:tc>
        <w:tc>
          <w:tcPr>
            <w:vAlign w:val="center"/>
          </w:tcPr>
          <w:p w:rsidR="00000000" w:rsidDel="00000000" w:rsidP="00000000" w:rsidRDefault="00000000" w:rsidRPr="00000000" w14:paraId="0000002E">
            <w:pPr>
              <w:jc w:val="center"/>
              <w:rPr>
                <w:vertAlign w:val="baseline"/>
              </w:rPr>
            </w:pPr>
            <w:r w:rsidDel="00000000" w:rsidR="00000000" w:rsidRPr="00000000">
              <w:rPr>
                <w:vertAlign w:val="baseline"/>
                <w:rtl w:val="0"/>
              </w:rPr>
              <w:t xml:space="preserve">0,87 – 1,33</w:t>
            </w:r>
          </w:p>
        </w:tc>
        <w:tc>
          <w:tcPr>
            <w:vAlign w:val="center"/>
          </w:tcPr>
          <w:p w:rsidR="00000000" w:rsidDel="00000000" w:rsidP="00000000" w:rsidRDefault="00000000" w:rsidRPr="00000000" w14:paraId="0000002F">
            <w:pPr>
              <w:jc w:val="center"/>
              <w:rPr>
                <w:vertAlign w:val="baseline"/>
              </w:rPr>
            </w:pPr>
            <w:r w:rsidDel="00000000" w:rsidR="00000000" w:rsidRPr="00000000">
              <w:rPr>
                <w:vertAlign w:val="baseline"/>
                <w:rtl w:val="0"/>
              </w:rPr>
              <w:t xml:space="preserve">1,37 – 1,81</w:t>
            </w:r>
          </w:p>
        </w:tc>
      </w:tr>
      <w:tr>
        <w:trPr>
          <w:cantSplit w:val="0"/>
          <w:tblHeader w:val="0"/>
        </w:trPr>
        <w:tc>
          <w:tcPr>
            <w:vAlign w:val="center"/>
          </w:tcPr>
          <w:p w:rsidR="00000000" w:rsidDel="00000000" w:rsidP="00000000" w:rsidRDefault="00000000" w:rsidRPr="00000000" w14:paraId="00000030">
            <w:pPr>
              <w:rPr>
                <w:vertAlign w:val="baseline"/>
              </w:rPr>
            </w:pPr>
            <w:r w:rsidDel="00000000" w:rsidR="00000000" w:rsidRPr="00000000">
              <w:rPr>
                <w:vertAlign w:val="baseline"/>
                <w:rtl w:val="0"/>
              </w:rPr>
              <w:t xml:space="preserve">Khoảng cách từ PTV đến thân não (cm)</w:t>
            </w:r>
          </w:p>
        </w:tc>
        <w:tc>
          <w:tcPr>
            <w:vAlign w:val="center"/>
          </w:tcPr>
          <w:p w:rsidR="00000000" w:rsidDel="00000000" w:rsidP="00000000" w:rsidRDefault="00000000" w:rsidRPr="00000000" w14:paraId="00000031">
            <w:pPr>
              <w:jc w:val="center"/>
              <w:rPr>
                <w:vertAlign w:val="baseline"/>
              </w:rPr>
            </w:pPr>
            <w:r w:rsidDel="00000000" w:rsidR="00000000" w:rsidRPr="00000000">
              <w:rPr>
                <w:vertAlign w:val="baseline"/>
                <w:rtl w:val="0"/>
              </w:rPr>
              <w:t xml:space="preserve">5,55</w:t>
            </w:r>
          </w:p>
        </w:tc>
        <w:tc>
          <w:tcPr>
            <w:vAlign w:val="center"/>
          </w:tcPr>
          <w:p w:rsidR="00000000" w:rsidDel="00000000" w:rsidP="00000000" w:rsidRDefault="00000000" w:rsidRPr="00000000" w14:paraId="00000032">
            <w:pPr>
              <w:jc w:val="center"/>
              <w:rPr>
                <w:vertAlign w:val="baseline"/>
              </w:rPr>
            </w:pPr>
            <w:r w:rsidDel="00000000" w:rsidR="00000000" w:rsidRPr="00000000">
              <w:rPr>
                <w:vertAlign w:val="baseline"/>
                <w:rtl w:val="0"/>
              </w:rPr>
              <w:t xml:space="preserve">1,88 – 6,55</w:t>
            </w:r>
          </w:p>
        </w:tc>
        <w:tc>
          <w:tcPr>
            <w:vAlign w:val="center"/>
          </w:tcPr>
          <w:p w:rsidR="00000000" w:rsidDel="00000000" w:rsidP="00000000" w:rsidRDefault="00000000" w:rsidRPr="00000000" w14:paraId="00000033">
            <w:pPr>
              <w:jc w:val="center"/>
              <w:rPr>
                <w:vertAlign w:val="baseline"/>
              </w:rPr>
            </w:pPr>
            <w:r w:rsidDel="00000000" w:rsidR="00000000" w:rsidRPr="00000000">
              <w:rPr>
                <w:vertAlign w:val="baseline"/>
                <w:rtl w:val="0"/>
              </w:rPr>
              <w:t xml:space="preserve">0,79 – 6,54</w:t>
            </w:r>
          </w:p>
        </w:tc>
      </w:tr>
      <w:tr>
        <w:trPr>
          <w:cantSplit w:val="0"/>
          <w:tblHeader w:val="0"/>
        </w:trPr>
        <w:tc>
          <w:tcPr>
            <w:vAlign w:val="center"/>
          </w:tcPr>
          <w:p w:rsidR="00000000" w:rsidDel="00000000" w:rsidP="00000000" w:rsidRDefault="00000000" w:rsidRPr="00000000" w14:paraId="00000034">
            <w:pPr>
              <w:rPr>
                <w:vertAlign w:val="baseline"/>
              </w:rPr>
            </w:pPr>
            <w:r w:rsidDel="00000000" w:rsidR="00000000" w:rsidRPr="00000000">
              <w:rPr>
                <w:vertAlign w:val="baseline"/>
                <w:rtl w:val="0"/>
              </w:rPr>
              <w:t xml:space="preserve">Số ca mắc</w:t>
            </w:r>
          </w:p>
        </w:tc>
        <w:tc>
          <w:tcPr>
            <w:vAlign w:val="center"/>
          </w:tcPr>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1</w:t>
            </w:r>
          </w:p>
        </w:tc>
        <w:tc>
          <w:tcPr>
            <w:vAlign w:val="center"/>
          </w:tcPr>
          <w:p w:rsidR="00000000" w:rsidDel="00000000" w:rsidP="00000000" w:rsidRDefault="00000000" w:rsidRPr="00000000" w14:paraId="00000036">
            <w:pPr>
              <w:jc w:val="center"/>
              <w:rPr>
                <w:vertAlign w:val="baseline"/>
              </w:rPr>
            </w:pPr>
            <w:r w:rsidDel="00000000" w:rsidR="00000000" w:rsidRPr="00000000">
              <w:rPr>
                <w:vertAlign w:val="baseline"/>
                <w:rtl w:val="0"/>
              </w:rPr>
              <w:t xml:space="preserve">14</w:t>
            </w:r>
          </w:p>
        </w:tc>
        <w:tc>
          <w:tcPr>
            <w:vAlign w:val="center"/>
          </w:tcPr>
          <w:p w:rsidR="00000000" w:rsidDel="00000000" w:rsidP="00000000" w:rsidRDefault="00000000" w:rsidRPr="00000000" w14:paraId="00000037">
            <w:pPr>
              <w:jc w:val="center"/>
              <w:rPr>
                <w:vertAlign w:val="baseline"/>
              </w:rPr>
            </w:pPr>
            <w:r w:rsidDel="00000000" w:rsidR="00000000" w:rsidRPr="00000000">
              <w:rPr>
                <w:vertAlign w:val="baseline"/>
                <w:rtl w:val="0"/>
              </w:rPr>
              <w:t xml:space="preserve">16</w:t>
            </w:r>
          </w:p>
        </w:tc>
      </w:tr>
    </w:tbl>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ind w:firstLine="284"/>
        <w:rPr>
          <w:b w:val="0"/>
          <w:vertAlign w:val="baseline"/>
        </w:rPr>
      </w:pPr>
      <w:r w:rsidDel="00000000" w:rsidR="00000000" w:rsidRPr="00000000">
        <w:rPr>
          <w:b w:val="1"/>
          <w:vertAlign w:val="baseline"/>
          <w:rtl w:val="0"/>
        </w:rPr>
        <w:t xml:space="preserve">2.1. Lập kế hoạch:</w:t>
      </w:r>
      <w:r w:rsidDel="00000000" w:rsidR="00000000" w:rsidRPr="00000000">
        <w:rPr>
          <w:rtl w:val="0"/>
        </w:rPr>
      </w:r>
    </w:p>
    <w:p w:rsidR="00000000" w:rsidDel="00000000" w:rsidP="00000000" w:rsidRDefault="00000000" w:rsidRPr="00000000" w14:paraId="0000003A">
      <w:pPr>
        <w:ind w:firstLine="720"/>
        <w:rPr>
          <w:vertAlign w:val="baseline"/>
        </w:rPr>
      </w:pPr>
      <w:r w:rsidDel="00000000" w:rsidR="00000000" w:rsidRPr="00000000">
        <w:rPr>
          <w:vertAlign w:val="baseline"/>
          <w:rtl w:val="0"/>
        </w:rPr>
        <w:t xml:space="preserve">Tất cả 31 ca bệnh nhân trên đều được lập kế hoạch trên phần mềm Eclipse 13.6 của hãng Varian. Mỗi ca bệnh sẽ được lập hai kế hoạch khác nhau:</w:t>
      </w:r>
    </w:p>
    <w:p w:rsidR="00000000" w:rsidDel="00000000" w:rsidP="00000000" w:rsidRDefault="00000000" w:rsidRPr="00000000" w14:paraId="0000003B">
      <w:pPr>
        <w:ind w:left="851" w:hanging="130.99999999999994"/>
        <w:rPr>
          <w:vertAlign w:val="baseline"/>
        </w:rPr>
      </w:pPr>
      <w:r w:rsidDel="00000000" w:rsidR="00000000" w:rsidRPr="00000000">
        <w:rPr>
          <w:vertAlign w:val="baseline"/>
          <w:rtl w:val="0"/>
        </w:rPr>
        <w:t xml:space="preserve">- Kế hoạch xạ phẫu sử dụng kỹ thuật DCAT.</w:t>
      </w:r>
    </w:p>
    <w:p w:rsidR="00000000" w:rsidDel="00000000" w:rsidP="00000000" w:rsidRDefault="00000000" w:rsidRPr="00000000" w14:paraId="0000003C">
      <w:pPr>
        <w:ind w:left="851" w:hanging="130.99999999999994"/>
        <w:rPr>
          <w:vertAlign w:val="baseline"/>
        </w:rPr>
      </w:pPr>
      <w:r w:rsidDel="00000000" w:rsidR="00000000" w:rsidRPr="00000000">
        <w:rPr>
          <w:vertAlign w:val="baseline"/>
          <w:rtl w:val="0"/>
        </w:rPr>
        <w:t xml:space="preserve">- Kế hoạch xạ phẫu sử dụng kỹ thuật VMAT.</w:t>
      </w:r>
    </w:p>
    <w:p w:rsidR="00000000" w:rsidDel="00000000" w:rsidP="00000000" w:rsidRDefault="00000000" w:rsidRPr="00000000" w14:paraId="0000003D">
      <w:pPr>
        <w:ind w:firstLine="720"/>
        <w:rPr>
          <w:vertAlign w:val="baseline"/>
        </w:rPr>
      </w:pPr>
      <w:r w:rsidDel="00000000" w:rsidR="00000000" w:rsidRPr="00000000">
        <w:rPr>
          <w:vertAlign w:val="baseline"/>
          <w:rtl w:val="0"/>
        </w:rPr>
        <w:t xml:space="preserve">Tất cả các kế hoạch này đều đồng nhất về thông số cung xạ, độ phân giải lưới tính toán và thuật toán tính liều. Sau đó, so sánh từng cặp kế hoạch với nhau bằng cách thực hiện thống kê và đánh giá mức độ đáp ứng liều vào thể tích bướu và cơ quan quý. Cung xạ được thiết kế theo các thông số được nêu trong bảng 2 và minh họa trong hình 1.</w:t>
      </w:r>
    </w:p>
    <w:p w:rsidR="00000000" w:rsidDel="00000000" w:rsidP="00000000" w:rsidRDefault="00000000" w:rsidRPr="00000000" w14:paraId="0000003E">
      <w:pPr>
        <w:ind w:firstLine="720"/>
        <w:rPr>
          <w:vertAlign w:val="baseline"/>
        </w:rPr>
      </w:pPr>
      <w:r w:rsidDel="00000000" w:rsidR="00000000" w:rsidRPr="00000000">
        <w:rPr>
          <w:rtl w:val="0"/>
        </w:rPr>
      </w:r>
    </w:p>
    <w:p w:rsidR="00000000" w:rsidDel="00000000" w:rsidP="00000000" w:rsidRDefault="00000000" w:rsidRPr="00000000" w14:paraId="0000003F">
      <w:pPr>
        <w:ind w:firstLine="720"/>
        <w:rPr>
          <w:vertAlign w:val="baseline"/>
        </w:rPr>
      </w:pPr>
      <w:r w:rsidDel="00000000" w:rsidR="00000000" w:rsidRPr="00000000">
        <w:rPr>
          <w:rtl w:val="0"/>
        </w:rPr>
      </w:r>
    </w:p>
    <w:p w:rsidR="00000000" w:rsidDel="00000000" w:rsidP="00000000" w:rsidRDefault="00000000" w:rsidRPr="00000000" w14:paraId="00000040">
      <w:pPr>
        <w:jc w:val="center"/>
        <w:rPr>
          <w:b w:val="0"/>
          <w:i w:val="0"/>
          <w:vertAlign w:val="baseline"/>
        </w:rPr>
      </w:pPr>
      <w:r w:rsidDel="00000000" w:rsidR="00000000" w:rsidRPr="00000000">
        <w:rPr>
          <w:b w:val="1"/>
          <w:i w:val="1"/>
          <w:vertAlign w:val="baseline"/>
          <w:rtl w:val="0"/>
        </w:rPr>
        <w:t xml:space="preserve">Bảng 2. Thiết kế cung xạ</w:t>
      </w:r>
      <w:r w:rsidDel="00000000" w:rsidR="00000000" w:rsidRPr="00000000">
        <w:rPr>
          <w:rtl w:val="0"/>
        </w:rPr>
      </w:r>
    </w:p>
    <w:tbl>
      <w:tblPr>
        <w:tblStyle w:val="Table2"/>
        <w:tblW w:w="9628.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1838"/>
        <w:gridCol w:w="2974"/>
        <w:gridCol w:w="2408"/>
        <w:gridCol w:w="2408"/>
        <w:tblGridChange w:id="0">
          <w:tblGrid>
            <w:gridCol w:w="1838"/>
            <w:gridCol w:w="2974"/>
            <w:gridCol w:w="2408"/>
            <w:gridCol w:w="2408"/>
          </w:tblGrid>
        </w:tblGridChange>
      </w:tblGrid>
      <w:tr>
        <w:trPr>
          <w:cantSplit w:val="0"/>
          <w:trHeight w:val="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41">
            <w:pPr>
              <w:jc w:val="center"/>
              <w:rPr>
                <w:b w:val="0"/>
                <w:vertAlign w:val="baseline"/>
              </w:rPr>
            </w:pPr>
            <w:r w:rsidDel="00000000" w:rsidR="00000000" w:rsidRPr="00000000">
              <w:rPr>
                <w:b w:val="1"/>
                <w:vertAlign w:val="baseline"/>
                <w:rtl w:val="0"/>
              </w:rPr>
              <w:t xml:space="preserve">Thứ tự cung xạ</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2">
            <w:pPr>
              <w:jc w:val="center"/>
              <w:rPr>
                <w:b w:val="0"/>
                <w:vertAlign w:val="baseline"/>
              </w:rPr>
            </w:pPr>
            <w:r w:rsidDel="00000000" w:rsidR="00000000" w:rsidRPr="00000000">
              <w:rPr>
                <w:b w:val="1"/>
                <w:vertAlign w:val="baseline"/>
                <w:rtl w:val="0"/>
              </w:rPr>
              <w:t xml:space="preserve">Góc quay </w:t>
              <w:br w:type="textWrapping"/>
              <w:t xml:space="preserve">Cánh tay quay</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3">
            <w:pPr>
              <w:jc w:val="center"/>
              <w:rPr>
                <w:b w:val="0"/>
                <w:vertAlign w:val="baseline"/>
              </w:rPr>
            </w:pPr>
            <w:r w:rsidDel="00000000" w:rsidR="00000000" w:rsidRPr="00000000">
              <w:rPr>
                <w:b w:val="1"/>
                <w:vertAlign w:val="baseline"/>
                <w:rtl w:val="0"/>
              </w:rPr>
              <w:t xml:space="preserve">Chiều quay </w:t>
              <w:br w:type="textWrapping"/>
              <w:t xml:space="preserve">Cánh tay quay</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4">
            <w:pPr>
              <w:jc w:val="center"/>
              <w:rPr>
                <w:b w:val="0"/>
                <w:vertAlign w:val="baseline"/>
              </w:rPr>
            </w:pPr>
            <w:r w:rsidDel="00000000" w:rsidR="00000000" w:rsidRPr="00000000">
              <w:rPr>
                <w:b w:val="1"/>
                <w:vertAlign w:val="baseline"/>
                <w:rtl w:val="0"/>
              </w:rPr>
              <w:t xml:space="preserve">Góc quay </w:t>
              <w:br w:type="textWrapping"/>
              <w:t xml:space="preserve">Bàn điều trị</w:t>
            </w:r>
            <w:r w:rsidDel="00000000" w:rsidR="00000000" w:rsidRPr="00000000">
              <w:rPr>
                <w:rtl w:val="0"/>
              </w:rPr>
            </w:r>
          </w:p>
        </w:tc>
      </w:tr>
      <w:tr>
        <w:trPr>
          <w:cantSplit w:val="0"/>
          <w:trHeight w:val="20" w:hRule="atLeast"/>
          <w:tblHeader w:val="0"/>
        </w:trPr>
        <w:tc>
          <w:tcPr>
            <w:tcBorders>
              <w:top w:color="000000" w:space="0" w:sz="4" w:val="single"/>
            </w:tcBorders>
            <w:vAlign w:val="center"/>
          </w:tcPr>
          <w:p w:rsidR="00000000" w:rsidDel="00000000" w:rsidP="00000000" w:rsidRDefault="00000000" w:rsidRPr="00000000" w14:paraId="00000045">
            <w:pPr>
              <w:jc w:val="center"/>
              <w:rPr>
                <w:vertAlign w:val="baseline"/>
              </w:rPr>
            </w:pPr>
            <w:r w:rsidDel="00000000" w:rsidR="00000000" w:rsidRPr="00000000">
              <w:rPr>
                <w:vertAlign w:val="baseline"/>
                <w:rtl w:val="0"/>
              </w:rPr>
              <w:t xml:space="preserve">1</w:t>
            </w:r>
          </w:p>
        </w:tc>
        <w:tc>
          <w:tcPr>
            <w:tcBorders>
              <w:top w:color="000000" w:space="0" w:sz="4" w:val="single"/>
            </w:tcBorders>
            <w:vAlign w:val="center"/>
          </w:tcPr>
          <w:p w:rsidR="00000000" w:rsidDel="00000000" w:rsidP="00000000" w:rsidRDefault="00000000" w:rsidRPr="00000000" w14:paraId="00000046">
            <w:pPr>
              <w:jc w:val="center"/>
              <w:rPr>
                <w:vertAlign w:val="baseline"/>
              </w:rPr>
            </w:pPr>
            <w:r w:rsidDel="00000000" w:rsidR="00000000" w:rsidRPr="00000000">
              <w:rPr>
                <w:vertAlign w:val="baseline"/>
                <w:rtl w:val="0"/>
              </w:rPr>
              <w:t xml:space="preserve">181</w:t>
            </w:r>
            <w:r w:rsidDel="00000000" w:rsidR="00000000" w:rsidRPr="00000000">
              <w:rPr>
                <w:vertAlign w:val="superscript"/>
                <w:rtl w:val="0"/>
              </w:rPr>
              <w:t xml:space="preserve">o</w:t>
            </w:r>
            <w:r w:rsidDel="00000000" w:rsidR="00000000" w:rsidRPr="00000000">
              <w:rPr>
                <w:vertAlign w:val="baseline"/>
                <w:rtl w:val="0"/>
              </w:rPr>
              <w:t xml:space="preserve"> – 179</w:t>
            </w:r>
            <w:r w:rsidDel="00000000" w:rsidR="00000000" w:rsidRPr="00000000">
              <w:rPr>
                <w:vertAlign w:val="superscript"/>
                <w:rtl w:val="0"/>
              </w:rPr>
              <w:t xml:space="preserve">o</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47">
            <w:pPr>
              <w:jc w:val="center"/>
              <w:rPr>
                <w:vertAlign w:val="baseline"/>
              </w:rPr>
            </w:pPr>
            <w:r w:rsidDel="00000000" w:rsidR="00000000" w:rsidRPr="00000000">
              <w:rPr>
                <w:vertAlign w:val="baseline"/>
                <w:rtl w:val="0"/>
              </w:rPr>
              <w:t xml:space="preserve">CW</w:t>
            </w:r>
          </w:p>
        </w:tc>
        <w:tc>
          <w:tcPr>
            <w:tcBorders>
              <w:top w:color="000000" w:space="0" w:sz="4" w:val="single"/>
            </w:tcBorders>
            <w:vAlign w:val="center"/>
          </w:tcPr>
          <w:p w:rsidR="00000000" w:rsidDel="00000000" w:rsidP="00000000" w:rsidRDefault="00000000" w:rsidRPr="00000000" w14:paraId="00000048">
            <w:pPr>
              <w:jc w:val="center"/>
              <w:rPr>
                <w:vertAlign w:val="baseline"/>
              </w:rPr>
            </w:pPr>
            <w:r w:rsidDel="00000000" w:rsidR="00000000" w:rsidRPr="00000000">
              <w:rPr>
                <w:vertAlign w:val="baseline"/>
                <w:rtl w:val="0"/>
              </w:rPr>
              <w:t xml:space="preserve">0</w:t>
            </w:r>
            <w:r w:rsidDel="00000000" w:rsidR="00000000" w:rsidRPr="00000000">
              <w:rPr>
                <w:vertAlign w:val="superscript"/>
                <w:rtl w:val="0"/>
              </w:rPr>
              <w:t xml:space="preserve">o</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49">
            <w:pPr>
              <w:jc w:val="center"/>
              <w:rPr>
                <w:vertAlign w:val="baseline"/>
              </w:rPr>
            </w:pPr>
            <w:r w:rsidDel="00000000" w:rsidR="00000000" w:rsidRPr="00000000">
              <w:rPr>
                <w:vertAlign w:val="baseline"/>
                <w:rtl w:val="0"/>
              </w:rPr>
              <w:t xml:space="preserve">2</w:t>
            </w:r>
          </w:p>
        </w:tc>
        <w:tc>
          <w:tcPr>
            <w:vAlign w:val="center"/>
          </w:tcPr>
          <w:p w:rsidR="00000000" w:rsidDel="00000000" w:rsidP="00000000" w:rsidRDefault="00000000" w:rsidRPr="00000000" w14:paraId="0000004A">
            <w:pPr>
              <w:jc w:val="center"/>
              <w:rPr>
                <w:vertAlign w:val="baseline"/>
              </w:rPr>
            </w:pPr>
            <w:r w:rsidDel="00000000" w:rsidR="00000000" w:rsidRPr="00000000">
              <w:rPr>
                <w:vertAlign w:val="baseline"/>
                <w:rtl w:val="0"/>
              </w:rPr>
              <w:t xml:space="preserve">179</w:t>
            </w:r>
            <w:r w:rsidDel="00000000" w:rsidR="00000000" w:rsidRPr="00000000">
              <w:rPr>
                <w:vertAlign w:val="superscript"/>
                <w:rtl w:val="0"/>
              </w:rPr>
              <w:t xml:space="preserve">o</w:t>
            </w:r>
            <w:r w:rsidDel="00000000" w:rsidR="00000000" w:rsidRPr="00000000">
              <w:rPr>
                <w:vertAlign w:val="baseline"/>
                <w:rtl w:val="0"/>
              </w:rPr>
              <w:t xml:space="preserve"> – 181</w:t>
            </w:r>
            <w:r w:rsidDel="00000000" w:rsidR="00000000" w:rsidRPr="00000000">
              <w:rPr>
                <w:vertAlign w:val="superscript"/>
                <w:rtl w:val="0"/>
              </w:rPr>
              <w:t xml:space="preserve">o</w:t>
            </w:r>
            <w:r w:rsidDel="00000000" w:rsidR="00000000" w:rsidRPr="00000000">
              <w:rPr>
                <w:rtl w:val="0"/>
              </w:rPr>
            </w:r>
          </w:p>
        </w:tc>
        <w:tc>
          <w:tcPr>
            <w:vAlign w:val="center"/>
          </w:tcPr>
          <w:p w:rsidR="00000000" w:rsidDel="00000000" w:rsidP="00000000" w:rsidRDefault="00000000" w:rsidRPr="00000000" w14:paraId="0000004B">
            <w:pPr>
              <w:jc w:val="center"/>
              <w:rPr>
                <w:vertAlign w:val="baseline"/>
              </w:rPr>
            </w:pPr>
            <w:r w:rsidDel="00000000" w:rsidR="00000000" w:rsidRPr="00000000">
              <w:rPr>
                <w:vertAlign w:val="baseline"/>
                <w:rtl w:val="0"/>
              </w:rPr>
              <w:t xml:space="preserve">CCW</w:t>
            </w:r>
          </w:p>
        </w:tc>
        <w:tc>
          <w:tcPr>
            <w:vAlign w:val="center"/>
          </w:tcPr>
          <w:p w:rsidR="00000000" w:rsidDel="00000000" w:rsidP="00000000" w:rsidRDefault="00000000" w:rsidRPr="00000000" w14:paraId="0000004C">
            <w:pPr>
              <w:jc w:val="center"/>
              <w:rPr>
                <w:vertAlign w:val="baseline"/>
              </w:rPr>
            </w:pPr>
            <w:r w:rsidDel="00000000" w:rsidR="00000000" w:rsidRPr="00000000">
              <w:rPr>
                <w:vertAlign w:val="baseline"/>
                <w:rtl w:val="0"/>
              </w:rPr>
              <w:t xml:space="preserve">0</w:t>
            </w:r>
            <w:r w:rsidDel="00000000" w:rsidR="00000000" w:rsidRPr="00000000">
              <w:rPr>
                <w:vertAlign w:val="superscript"/>
                <w:rtl w:val="0"/>
              </w:rPr>
              <w:t xml:space="preserve">o</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4D">
            <w:pPr>
              <w:jc w:val="center"/>
              <w:rPr>
                <w:vertAlign w:val="baseline"/>
              </w:rPr>
            </w:pPr>
            <w:r w:rsidDel="00000000" w:rsidR="00000000" w:rsidRPr="00000000">
              <w:rPr>
                <w:vertAlign w:val="baseline"/>
                <w:rtl w:val="0"/>
              </w:rPr>
              <w:t xml:space="preserve">3</w:t>
            </w:r>
          </w:p>
        </w:tc>
        <w:tc>
          <w:tcPr>
            <w:vAlign w:val="center"/>
          </w:tcPr>
          <w:p w:rsidR="00000000" w:rsidDel="00000000" w:rsidP="00000000" w:rsidRDefault="00000000" w:rsidRPr="00000000" w14:paraId="0000004E">
            <w:pPr>
              <w:jc w:val="center"/>
              <w:rPr>
                <w:vertAlign w:val="baseline"/>
              </w:rPr>
            </w:pPr>
            <w:r w:rsidDel="00000000" w:rsidR="00000000" w:rsidRPr="00000000">
              <w:rPr>
                <w:vertAlign w:val="baseline"/>
                <w:rtl w:val="0"/>
              </w:rPr>
              <w:t xml:space="preserve">181</w:t>
            </w:r>
            <w:r w:rsidDel="00000000" w:rsidR="00000000" w:rsidRPr="00000000">
              <w:rPr>
                <w:vertAlign w:val="superscript"/>
                <w:rtl w:val="0"/>
              </w:rPr>
              <w:t xml:space="preserve">o</w:t>
            </w:r>
            <w:r w:rsidDel="00000000" w:rsidR="00000000" w:rsidRPr="00000000">
              <w:rPr>
                <w:vertAlign w:val="baseline"/>
                <w:rtl w:val="0"/>
              </w:rPr>
              <w:t xml:space="preserve"> – 0</w:t>
            </w:r>
            <w:r w:rsidDel="00000000" w:rsidR="00000000" w:rsidRPr="00000000">
              <w:rPr>
                <w:vertAlign w:val="superscript"/>
                <w:rtl w:val="0"/>
              </w:rPr>
              <w:t xml:space="preserve">o</w:t>
            </w:r>
            <w:r w:rsidDel="00000000" w:rsidR="00000000" w:rsidRPr="00000000">
              <w:rPr>
                <w:rtl w:val="0"/>
              </w:rPr>
            </w:r>
          </w:p>
        </w:tc>
        <w:tc>
          <w:tcPr>
            <w:vAlign w:val="center"/>
          </w:tcPr>
          <w:p w:rsidR="00000000" w:rsidDel="00000000" w:rsidP="00000000" w:rsidRDefault="00000000" w:rsidRPr="00000000" w14:paraId="0000004F">
            <w:pPr>
              <w:jc w:val="center"/>
              <w:rPr>
                <w:vertAlign w:val="baseline"/>
              </w:rPr>
            </w:pPr>
            <w:r w:rsidDel="00000000" w:rsidR="00000000" w:rsidRPr="00000000">
              <w:rPr>
                <w:vertAlign w:val="baseline"/>
                <w:rtl w:val="0"/>
              </w:rPr>
              <w:t xml:space="preserve">CW</w:t>
            </w:r>
          </w:p>
        </w:tc>
        <w:tc>
          <w:tcPr>
            <w:vAlign w:val="center"/>
          </w:tcPr>
          <w:p w:rsidR="00000000" w:rsidDel="00000000" w:rsidP="00000000" w:rsidRDefault="00000000" w:rsidRPr="00000000" w14:paraId="00000050">
            <w:pPr>
              <w:jc w:val="center"/>
              <w:rPr>
                <w:vertAlign w:val="baseline"/>
              </w:rPr>
            </w:pPr>
            <w:r w:rsidDel="00000000" w:rsidR="00000000" w:rsidRPr="00000000">
              <w:rPr>
                <w:vertAlign w:val="baseline"/>
                <w:rtl w:val="0"/>
              </w:rPr>
              <w:t xml:space="preserve">270</w:t>
            </w:r>
            <w:r w:rsidDel="00000000" w:rsidR="00000000" w:rsidRPr="00000000">
              <w:rPr>
                <w:vertAlign w:val="superscript"/>
                <w:rtl w:val="0"/>
              </w:rPr>
              <w:t xml:space="preserve">o</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51">
            <w:pPr>
              <w:jc w:val="center"/>
              <w:rPr>
                <w:vertAlign w:val="baseline"/>
              </w:rPr>
            </w:pPr>
            <w:r w:rsidDel="00000000" w:rsidR="00000000" w:rsidRPr="00000000">
              <w:rPr>
                <w:vertAlign w:val="baseline"/>
                <w:rtl w:val="0"/>
              </w:rPr>
              <w:t xml:space="preserve">4</w:t>
            </w:r>
          </w:p>
        </w:tc>
        <w:tc>
          <w:tcPr>
            <w:vAlign w:val="center"/>
          </w:tcPr>
          <w:p w:rsidR="00000000" w:rsidDel="00000000" w:rsidP="00000000" w:rsidRDefault="00000000" w:rsidRPr="00000000" w14:paraId="00000052">
            <w:pPr>
              <w:jc w:val="center"/>
              <w:rPr>
                <w:vertAlign w:val="baseline"/>
              </w:rPr>
            </w:pPr>
            <w:r w:rsidDel="00000000" w:rsidR="00000000" w:rsidRPr="00000000">
              <w:rPr>
                <w:vertAlign w:val="baseline"/>
                <w:rtl w:val="0"/>
              </w:rPr>
              <w:t xml:space="preserve">0</w:t>
            </w:r>
            <w:r w:rsidDel="00000000" w:rsidR="00000000" w:rsidRPr="00000000">
              <w:rPr>
                <w:vertAlign w:val="superscript"/>
                <w:rtl w:val="0"/>
              </w:rPr>
              <w:t xml:space="preserve">o</w:t>
            </w:r>
            <w:r w:rsidDel="00000000" w:rsidR="00000000" w:rsidRPr="00000000">
              <w:rPr>
                <w:vertAlign w:val="baseline"/>
                <w:rtl w:val="0"/>
              </w:rPr>
              <w:t xml:space="preserve"> – 181</w:t>
            </w:r>
            <w:r w:rsidDel="00000000" w:rsidR="00000000" w:rsidRPr="00000000">
              <w:rPr>
                <w:vertAlign w:val="superscript"/>
                <w:rtl w:val="0"/>
              </w:rPr>
              <w:t xml:space="preserve">o</w:t>
            </w:r>
            <w:r w:rsidDel="00000000" w:rsidR="00000000" w:rsidRPr="00000000">
              <w:rPr>
                <w:rtl w:val="0"/>
              </w:rPr>
            </w:r>
          </w:p>
        </w:tc>
        <w:tc>
          <w:tcPr>
            <w:vAlign w:val="center"/>
          </w:tcPr>
          <w:p w:rsidR="00000000" w:rsidDel="00000000" w:rsidP="00000000" w:rsidRDefault="00000000" w:rsidRPr="00000000" w14:paraId="00000053">
            <w:pPr>
              <w:jc w:val="center"/>
              <w:rPr>
                <w:vertAlign w:val="baseline"/>
              </w:rPr>
            </w:pPr>
            <w:r w:rsidDel="00000000" w:rsidR="00000000" w:rsidRPr="00000000">
              <w:rPr>
                <w:vertAlign w:val="baseline"/>
                <w:rtl w:val="0"/>
              </w:rPr>
              <w:t xml:space="preserve">CWW</w:t>
            </w:r>
          </w:p>
        </w:tc>
        <w:tc>
          <w:tcPr>
            <w:vAlign w:val="center"/>
          </w:tcPr>
          <w:p w:rsidR="00000000" w:rsidDel="00000000" w:rsidP="00000000" w:rsidRDefault="00000000" w:rsidRPr="00000000" w14:paraId="00000054">
            <w:pPr>
              <w:jc w:val="center"/>
              <w:rPr>
                <w:vertAlign w:val="baseline"/>
              </w:rPr>
            </w:pPr>
            <w:r w:rsidDel="00000000" w:rsidR="00000000" w:rsidRPr="00000000">
              <w:rPr>
                <w:vertAlign w:val="baseline"/>
                <w:rtl w:val="0"/>
              </w:rPr>
              <w:t xml:space="preserve">315</w:t>
            </w:r>
            <w:r w:rsidDel="00000000" w:rsidR="00000000" w:rsidRPr="00000000">
              <w:rPr>
                <w:vertAlign w:val="superscript"/>
                <w:rtl w:val="0"/>
              </w:rPr>
              <w:t xml:space="preserve">o</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55">
            <w:pPr>
              <w:jc w:val="center"/>
              <w:rPr>
                <w:vertAlign w:val="baseline"/>
              </w:rPr>
            </w:pPr>
            <w:r w:rsidDel="00000000" w:rsidR="00000000" w:rsidRPr="00000000">
              <w:rPr>
                <w:vertAlign w:val="baseline"/>
                <w:rtl w:val="0"/>
              </w:rPr>
              <w:t xml:space="preserve">5</w:t>
            </w:r>
          </w:p>
        </w:tc>
        <w:tc>
          <w:tcPr>
            <w:vAlign w:val="center"/>
          </w:tcPr>
          <w:p w:rsidR="00000000" w:rsidDel="00000000" w:rsidP="00000000" w:rsidRDefault="00000000" w:rsidRPr="00000000" w14:paraId="00000056">
            <w:pPr>
              <w:jc w:val="center"/>
              <w:rPr>
                <w:vertAlign w:val="baseline"/>
              </w:rPr>
            </w:pPr>
            <w:r w:rsidDel="00000000" w:rsidR="00000000" w:rsidRPr="00000000">
              <w:rPr>
                <w:vertAlign w:val="baseline"/>
                <w:rtl w:val="0"/>
              </w:rPr>
              <w:t xml:space="preserve">0</w:t>
            </w:r>
            <w:r w:rsidDel="00000000" w:rsidR="00000000" w:rsidRPr="00000000">
              <w:rPr>
                <w:vertAlign w:val="superscript"/>
                <w:rtl w:val="0"/>
              </w:rPr>
              <w:t xml:space="preserve">o</w:t>
            </w:r>
            <w:r w:rsidDel="00000000" w:rsidR="00000000" w:rsidRPr="00000000">
              <w:rPr>
                <w:vertAlign w:val="baseline"/>
                <w:rtl w:val="0"/>
              </w:rPr>
              <w:t xml:space="preserve"> – 179</w:t>
            </w:r>
            <w:r w:rsidDel="00000000" w:rsidR="00000000" w:rsidRPr="00000000">
              <w:rPr>
                <w:vertAlign w:val="superscript"/>
                <w:rtl w:val="0"/>
              </w:rPr>
              <w:t xml:space="preserve">o</w:t>
            </w:r>
            <w:r w:rsidDel="00000000" w:rsidR="00000000" w:rsidRPr="00000000">
              <w:rPr>
                <w:rtl w:val="0"/>
              </w:rPr>
            </w:r>
          </w:p>
        </w:tc>
        <w:tc>
          <w:tcPr>
            <w:vAlign w:val="center"/>
          </w:tcPr>
          <w:p w:rsidR="00000000" w:rsidDel="00000000" w:rsidP="00000000" w:rsidRDefault="00000000" w:rsidRPr="00000000" w14:paraId="00000057">
            <w:pPr>
              <w:jc w:val="center"/>
              <w:rPr>
                <w:vertAlign w:val="baseline"/>
              </w:rPr>
            </w:pPr>
            <w:r w:rsidDel="00000000" w:rsidR="00000000" w:rsidRPr="00000000">
              <w:rPr>
                <w:vertAlign w:val="baseline"/>
                <w:rtl w:val="0"/>
              </w:rPr>
              <w:t xml:space="preserve">CW</w:t>
            </w:r>
          </w:p>
        </w:tc>
        <w:tc>
          <w:tcPr>
            <w:vAlign w:val="center"/>
          </w:tcPr>
          <w:p w:rsidR="00000000" w:rsidDel="00000000" w:rsidP="00000000" w:rsidRDefault="00000000" w:rsidRPr="00000000" w14:paraId="00000058">
            <w:pPr>
              <w:jc w:val="center"/>
              <w:rPr>
                <w:vertAlign w:val="baseline"/>
              </w:rPr>
            </w:pPr>
            <w:r w:rsidDel="00000000" w:rsidR="00000000" w:rsidRPr="00000000">
              <w:rPr>
                <w:vertAlign w:val="baseline"/>
                <w:rtl w:val="0"/>
              </w:rPr>
              <w:t xml:space="preserve">45</w:t>
            </w:r>
            <w:r w:rsidDel="00000000" w:rsidR="00000000" w:rsidRPr="00000000">
              <w:rPr>
                <w:vertAlign w:val="superscript"/>
                <w:rtl w:val="0"/>
              </w:rPr>
              <w:t xml:space="preserve">o</w:t>
            </w:r>
            <w:r w:rsidDel="00000000" w:rsidR="00000000" w:rsidRPr="00000000">
              <w:rPr>
                <w:rtl w:val="0"/>
              </w:rPr>
            </w:r>
          </w:p>
        </w:tc>
      </w:tr>
    </w:tbl>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jc w:val="center"/>
        <w:rPr>
          <w:vertAlign w:val="baseline"/>
        </w:rPr>
      </w:pPr>
      <w:r w:rsidDel="00000000" w:rsidR="00000000" w:rsidRPr="00000000">
        <w:rPr>
          <w:vertAlign w:val="baseline"/>
        </w:rPr>
        <w:drawing>
          <wp:inline distB="0" distT="0" distL="114300" distR="114300">
            <wp:extent cx="3060065" cy="2064385"/>
            <wp:effectExtent b="0" l="0" r="0" t="0"/>
            <wp:docPr descr="A computer generated image of a nuclear model&#10;&#10;Description automatically generated with medium confidence" id="1" name="image2.png"/>
            <a:graphic>
              <a:graphicData uri="http://schemas.openxmlformats.org/drawingml/2006/picture">
                <pic:pic>
                  <pic:nvPicPr>
                    <pic:cNvPr descr="A computer generated image of a nuclear model&#10;&#10;Description automatically generated with medium confidence" id="0" name="image2.png"/>
                    <pic:cNvPicPr preferRelativeResize="0"/>
                  </pic:nvPicPr>
                  <pic:blipFill>
                    <a:blip r:embed="rId8"/>
                    <a:srcRect b="0" l="0" r="0" t="0"/>
                    <a:stretch>
                      <a:fillRect/>
                    </a:stretch>
                  </pic:blipFill>
                  <pic:spPr>
                    <a:xfrm>
                      <a:off x="0" y="0"/>
                      <a:ext cx="3060065" cy="206438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spacing w:before="120" w:lineRule="auto"/>
        <w:jc w:val="center"/>
        <w:rPr>
          <w:b w:val="0"/>
          <w:i w:val="0"/>
          <w:vertAlign w:val="baseline"/>
        </w:rPr>
      </w:pPr>
      <w:r w:rsidDel="00000000" w:rsidR="00000000" w:rsidRPr="00000000">
        <w:rPr>
          <w:b w:val="1"/>
          <w:i w:val="1"/>
          <w:vertAlign w:val="baseline"/>
          <w:rtl w:val="0"/>
        </w:rPr>
        <w:t xml:space="preserve">Hình 1. Hình dạng cung xạ</w:t>
      </w:r>
      <w:r w:rsidDel="00000000" w:rsidR="00000000" w:rsidRPr="00000000">
        <w:rPr>
          <w:rtl w:val="0"/>
        </w:rPr>
      </w:r>
    </w:p>
    <w:p w:rsidR="00000000" w:rsidDel="00000000" w:rsidP="00000000" w:rsidRDefault="00000000" w:rsidRPr="00000000" w14:paraId="0000005C">
      <w:pPr>
        <w:ind w:firstLine="284"/>
        <w:rPr>
          <w:b w:val="0"/>
          <w:vertAlign w:val="baseline"/>
        </w:rPr>
      </w:pPr>
      <w:r w:rsidDel="00000000" w:rsidR="00000000" w:rsidRPr="00000000">
        <w:rPr>
          <w:b w:val="1"/>
          <w:vertAlign w:val="baseline"/>
          <w:rtl w:val="0"/>
        </w:rPr>
        <w:t xml:space="preserve">2.2. Thu thập số liệu:</w:t>
      </w:r>
      <w:r w:rsidDel="00000000" w:rsidR="00000000" w:rsidRPr="00000000">
        <w:rPr>
          <w:rtl w:val="0"/>
        </w:rPr>
      </w:r>
    </w:p>
    <w:p w:rsidR="00000000" w:rsidDel="00000000" w:rsidP="00000000" w:rsidRDefault="00000000" w:rsidRPr="00000000" w14:paraId="0000005D">
      <w:pPr>
        <w:ind w:firstLine="720"/>
        <w:rPr>
          <w:vertAlign w:val="baseline"/>
        </w:rPr>
      </w:pPr>
      <w:r w:rsidDel="00000000" w:rsidR="00000000" w:rsidRPr="00000000">
        <w:rPr>
          <w:vertAlign w:val="baseline"/>
          <w:rtl w:val="0"/>
        </w:rPr>
        <w:t xml:space="preserve">Nhóm nguyên cứu đã tiến hành thu thập những số liệu về:</w:t>
      </w:r>
    </w:p>
    <w:p w:rsidR="00000000" w:rsidDel="00000000" w:rsidP="00000000" w:rsidRDefault="00000000" w:rsidRPr="00000000" w14:paraId="0000005E">
      <w:pPr>
        <w:ind w:left="851" w:hanging="130.99999999999994"/>
        <w:rPr>
          <w:vertAlign w:val="baseline"/>
        </w:rPr>
      </w:pPr>
      <w:r w:rsidDel="00000000" w:rsidR="00000000" w:rsidRPr="00000000">
        <w:rPr>
          <w:vertAlign w:val="baseline"/>
          <w:rtl w:val="0"/>
        </w:rPr>
        <w:t xml:space="preserve">- Liều lượng vào bướu: Liều nhận được trên 2% và 98% thể tích (D2 và D98), liều trung bình trên toàn bộ thể tích (Dmean) và liều cực đại bướu nhận được (Dmax)</w:t>
      </w:r>
      <w:r w:rsidDel="00000000" w:rsidR="00000000" w:rsidRPr="00000000">
        <w:rPr>
          <w:vertAlign w:val="superscript"/>
          <w:rtl w:val="0"/>
        </w:rPr>
        <w:t xml:space="preserve">[1],[2]</w:t>
      </w:r>
      <w:r w:rsidDel="00000000" w:rsidR="00000000" w:rsidRPr="00000000">
        <w:rPr>
          <w:vertAlign w:val="baseline"/>
          <w:rtl w:val="0"/>
        </w:rPr>
        <w:t xml:space="preserve">.</w:t>
      </w:r>
    </w:p>
    <w:p w:rsidR="00000000" w:rsidDel="00000000" w:rsidP="00000000" w:rsidRDefault="00000000" w:rsidRPr="00000000" w14:paraId="0000005F">
      <w:pPr>
        <w:ind w:left="851" w:hanging="130.99999999999994"/>
        <w:rPr>
          <w:vertAlign w:val="baseline"/>
        </w:rPr>
      </w:pPr>
      <w:r w:rsidDel="00000000" w:rsidR="00000000" w:rsidRPr="00000000">
        <w:rPr>
          <w:vertAlign w:val="baseline"/>
          <w:rtl w:val="0"/>
        </w:rPr>
        <w:t xml:space="preserve">- Liều lượng vào các cơ quan quý: Bao gồm các cơ quan não lành (thể tích não sau khi trừ đi thể tích PTV) và thân não. Các cơ quan còn lại như thần kinh thị giác, giao thoa thị giác, thủy tinh thể… đều nằm xa PTV nên liều vào hầu như không đáng kể</w:t>
      </w:r>
      <w:r w:rsidDel="00000000" w:rsidR="00000000" w:rsidRPr="00000000">
        <w:rPr>
          <w:vertAlign w:val="superscript"/>
          <w:rtl w:val="0"/>
        </w:rPr>
        <w:t xml:space="preserve">[3]</w:t>
      </w:r>
      <w:r w:rsidDel="00000000" w:rsidR="00000000" w:rsidRPr="00000000">
        <w:rPr>
          <w:vertAlign w:val="baseline"/>
          <w:rtl w:val="0"/>
        </w:rPr>
        <w:t xml:space="preserve">. Giới hạn liều cho não lành được trình bày trong bảng 3.</w:t>
      </w:r>
    </w:p>
    <w:p w:rsidR="00000000" w:rsidDel="00000000" w:rsidP="00000000" w:rsidRDefault="00000000" w:rsidRPr="00000000" w14:paraId="00000060">
      <w:pPr>
        <w:jc w:val="center"/>
        <w:rPr>
          <w:b w:val="0"/>
          <w:i w:val="0"/>
          <w:vertAlign w:val="baseline"/>
        </w:rPr>
      </w:pPr>
      <w:r w:rsidDel="00000000" w:rsidR="00000000" w:rsidRPr="00000000">
        <w:rPr>
          <w:b w:val="1"/>
          <w:i w:val="1"/>
          <w:vertAlign w:val="baseline"/>
          <w:rtl w:val="0"/>
        </w:rPr>
        <w:t xml:space="preserve">Bảng 3. Giới hạn liều cho não lành</w:t>
      </w:r>
      <w:r w:rsidDel="00000000" w:rsidR="00000000" w:rsidRPr="00000000">
        <w:rPr>
          <w:rtl w:val="0"/>
        </w:rPr>
      </w:r>
    </w:p>
    <w:tbl>
      <w:tblPr>
        <w:tblStyle w:val="Table3"/>
        <w:tblW w:w="780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2272"/>
        <w:gridCol w:w="2835"/>
        <w:gridCol w:w="2693"/>
        <w:tblGridChange w:id="0">
          <w:tblGrid>
            <w:gridCol w:w="2272"/>
            <w:gridCol w:w="2835"/>
            <w:gridCol w:w="2693"/>
          </w:tblGrid>
        </w:tblGridChange>
      </w:tblGrid>
      <w:tr>
        <w:trPr>
          <w:cantSplit w:val="0"/>
          <w:trHeight w:val="19"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61">
            <w:pPr>
              <w:jc w:val="center"/>
              <w:rPr>
                <w:b w:val="0"/>
                <w:vertAlign w:val="baseline"/>
              </w:rPr>
            </w:pPr>
            <w:r w:rsidDel="00000000" w:rsidR="00000000" w:rsidRPr="00000000">
              <w:rPr>
                <w:b w:val="1"/>
                <w:vertAlign w:val="baseline"/>
                <w:rtl w:val="0"/>
              </w:rPr>
              <w:t xml:space="preserve">Số liệu đánh giá</w:t>
            </w: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062">
            <w:pPr>
              <w:jc w:val="center"/>
              <w:rPr>
                <w:b w:val="0"/>
                <w:vertAlign w:val="baseline"/>
              </w:rPr>
            </w:pPr>
            <w:r w:rsidDel="00000000" w:rsidR="00000000" w:rsidRPr="00000000">
              <w:rPr>
                <w:b w:val="1"/>
                <w:vertAlign w:val="baseline"/>
                <w:rtl w:val="0"/>
              </w:rPr>
              <w:t xml:space="preserve">Liều đổ vào thể tích</w:t>
            </w:r>
            <w:r w:rsidDel="00000000" w:rsidR="00000000" w:rsidRPr="00000000">
              <w:rPr>
                <w:rtl w:val="0"/>
              </w:rPr>
            </w:r>
          </w:p>
        </w:tc>
      </w:tr>
      <w:tr>
        <w:trPr>
          <w:cantSplit w:val="0"/>
          <w:trHeight w:val="19"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64">
            <w:pPr>
              <w:jc w:val="center"/>
              <w:rPr>
                <w:b w:val="0"/>
                <w:vertAlign w:val="baseline"/>
              </w:rPr>
            </w:pPr>
            <w:r w:rsidDel="00000000" w:rsidR="00000000" w:rsidRPr="00000000">
              <w:rPr>
                <w:b w:val="1"/>
                <w:vertAlign w:val="baseline"/>
                <w:rtl w:val="0"/>
              </w:rPr>
              <w:t xml:space="preserve">Phân liều</w:t>
            </w: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065">
            <w:pPr>
              <w:jc w:val="center"/>
              <w:rPr>
                <w:vertAlign w:val="baseline"/>
              </w:rPr>
            </w:pPr>
            <w:r w:rsidDel="00000000" w:rsidR="00000000" w:rsidRPr="00000000">
              <w:rPr>
                <w:vertAlign w:val="baseline"/>
                <w:rtl w:val="0"/>
              </w:rPr>
              <w:t xml:space="preserve">3 phân liều</w:t>
            </w:r>
          </w:p>
        </w:tc>
      </w:tr>
      <w:tr>
        <w:trPr>
          <w:cantSplit w:val="0"/>
          <w:trHeight w:val="19"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67">
            <w:pPr>
              <w:jc w:val="center"/>
              <w:rPr>
                <w:b w:val="0"/>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8">
            <w:pPr>
              <w:jc w:val="center"/>
              <w:rPr>
                <w:b w:val="0"/>
                <w:vertAlign w:val="baseline"/>
              </w:rPr>
            </w:pPr>
            <w:r w:rsidDel="00000000" w:rsidR="00000000" w:rsidRPr="00000000">
              <w:rPr>
                <w:b w:val="1"/>
                <w:vertAlign w:val="baseline"/>
                <w:rtl w:val="0"/>
              </w:rPr>
              <w:t xml:space="preserve">Tiêu chuẩn (Gy)</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9">
            <w:pPr>
              <w:jc w:val="center"/>
              <w:rPr>
                <w:b w:val="0"/>
                <w:vertAlign w:val="baseline"/>
              </w:rPr>
            </w:pPr>
            <w:r w:rsidDel="00000000" w:rsidR="00000000" w:rsidRPr="00000000">
              <w:rPr>
                <w:b w:val="1"/>
                <w:vertAlign w:val="baseline"/>
                <w:rtl w:val="0"/>
              </w:rPr>
              <w:t xml:space="preserve">Chấp nhận (cc)</w:t>
            </w:r>
            <w:r w:rsidDel="00000000" w:rsidR="00000000" w:rsidRPr="00000000">
              <w:rPr>
                <w:rtl w:val="0"/>
              </w:rPr>
            </w:r>
          </w:p>
        </w:tc>
      </w:tr>
      <w:tr>
        <w:trPr>
          <w:cantSplit w:val="0"/>
          <w:trHeight w:val="19" w:hRule="atLeast"/>
          <w:tblHeader w:val="0"/>
        </w:trPr>
        <w:tc>
          <w:tcPr>
            <w:tcBorders>
              <w:top w:color="000000" w:space="0" w:sz="4" w:val="single"/>
            </w:tcBorders>
            <w:vAlign w:val="center"/>
          </w:tcPr>
          <w:p w:rsidR="00000000" w:rsidDel="00000000" w:rsidP="00000000" w:rsidRDefault="00000000" w:rsidRPr="00000000" w14:paraId="0000006A">
            <w:pPr>
              <w:jc w:val="center"/>
              <w:rPr>
                <w:b w:val="0"/>
                <w:vertAlign w:val="baseline"/>
              </w:rPr>
            </w:pPr>
            <w:r w:rsidDel="00000000" w:rsidR="00000000" w:rsidRPr="00000000">
              <w:rPr>
                <w:b w:val="1"/>
                <w:vertAlign w:val="baseline"/>
                <w:rtl w:val="0"/>
              </w:rPr>
              <w:t xml:space="preserve">Não lành</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6B">
            <w:pPr>
              <w:jc w:val="center"/>
              <w:rPr>
                <w:vertAlign w:val="baseline"/>
              </w:rPr>
            </w:pPr>
            <w:r w:rsidDel="00000000" w:rsidR="00000000" w:rsidRPr="00000000">
              <w:rPr>
                <w:vertAlign w:val="baseline"/>
                <w:rtl w:val="0"/>
              </w:rPr>
              <w:t xml:space="preserve">D7cc &lt; 23,1</w:t>
            </w:r>
          </w:p>
          <w:p w:rsidR="00000000" w:rsidDel="00000000" w:rsidP="00000000" w:rsidRDefault="00000000" w:rsidRPr="00000000" w14:paraId="0000006C">
            <w:pPr>
              <w:jc w:val="center"/>
              <w:rPr>
                <w:vertAlign w:val="baseline"/>
              </w:rPr>
            </w:pPr>
            <w:r w:rsidDel="00000000" w:rsidR="00000000" w:rsidRPr="00000000">
              <w:rPr>
                <w:vertAlign w:val="baseline"/>
                <w:rtl w:val="0"/>
              </w:rPr>
              <w:t xml:space="preserve">D20,9cc &lt; 21</w:t>
            </w:r>
          </w:p>
          <w:p w:rsidR="00000000" w:rsidDel="00000000" w:rsidP="00000000" w:rsidRDefault="00000000" w:rsidRPr="00000000" w14:paraId="0000006D">
            <w:pPr>
              <w:jc w:val="center"/>
              <w:rPr>
                <w:vertAlign w:val="baseline"/>
              </w:rPr>
            </w:pPr>
            <w:r w:rsidDel="00000000" w:rsidR="00000000" w:rsidRPr="00000000">
              <w:rPr>
                <w:vertAlign w:val="baseline"/>
                <w:rtl w:val="0"/>
              </w:rPr>
              <w:t xml:space="preserve">V12Gy &lt; 10%</w:t>
            </w:r>
          </w:p>
        </w:tc>
        <w:tc>
          <w:tcPr>
            <w:tcBorders>
              <w:top w:color="000000" w:space="0" w:sz="4" w:val="single"/>
            </w:tcBorders>
            <w:vAlign w:val="center"/>
          </w:tcPr>
          <w:p w:rsidR="00000000" w:rsidDel="00000000" w:rsidP="00000000" w:rsidRDefault="00000000" w:rsidRPr="00000000" w14:paraId="0000006E">
            <w:pPr>
              <w:jc w:val="center"/>
              <w:rPr>
                <w:vertAlign w:val="baseline"/>
              </w:rPr>
            </w:pPr>
            <w:r w:rsidDel="00000000" w:rsidR="00000000" w:rsidRPr="00000000">
              <w:rPr>
                <w:vertAlign w:val="baseline"/>
                <w:rtl w:val="0"/>
              </w:rPr>
              <w:t xml:space="preserve">V12Gy &lt; 11</w:t>
            </w:r>
          </w:p>
        </w:tc>
      </w:tr>
    </w:tbl>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ind w:left="851" w:hanging="130.99999999999994"/>
        <w:rPr>
          <w:vertAlign w:val="baseline"/>
        </w:rPr>
      </w:pPr>
      <w:r w:rsidDel="00000000" w:rsidR="00000000" w:rsidRPr="00000000">
        <w:rPr>
          <w:vertAlign w:val="baseline"/>
          <w:rtl w:val="0"/>
        </w:rPr>
        <w:t xml:space="preserve">- Các chỉ số đánh giá kế hoạch: CI (chỉ số phù hợp), HI (chỉ số đồng nhất) và GI (chỉ số suy giảm liều)</w:t>
      </w:r>
      <w:r w:rsidDel="00000000" w:rsidR="00000000" w:rsidRPr="00000000">
        <w:rPr>
          <w:vertAlign w:val="superscript"/>
          <w:rtl w:val="0"/>
        </w:rPr>
        <w:t xml:space="preserve">[4],[5]</w:t>
      </w:r>
      <w:r w:rsidDel="00000000" w:rsidR="00000000" w:rsidRPr="00000000">
        <w:rPr>
          <w:vertAlign w:val="baseline"/>
          <w:rtl w:val="0"/>
        </w:rPr>
        <w:t xml:space="preserve">.</w:t>
      </w:r>
    </w:p>
    <w:p w:rsidR="00000000" w:rsidDel="00000000" w:rsidP="00000000" w:rsidRDefault="00000000" w:rsidRPr="00000000" w14:paraId="00000071">
      <w:pPr>
        <w:ind w:left="851" w:hanging="130.99999999999994"/>
        <w:rPr>
          <w:vertAlign w:val="baseline"/>
        </w:rPr>
      </w:pPr>
      <w:r w:rsidDel="00000000" w:rsidR="00000000" w:rsidRPr="00000000">
        <w:rPr>
          <w:vertAlign w:val="baseline"/>
          <w:rtl w:val="0"/>
        </w:rPr>
        <w:t xml:space="preserve">- Số MU của mỗi kế hoạch.</w:t>
      </w:r>
    </w:p>
    <w:p w:rsidR="00000000" w:rsidDel="00000000" w:rsidP="00000000" w:rsidRDefault="00000000" w:rsidRPr="00000000" w14:paraId="00000072">
      <w:pPr>
        <w:ind w:firstLine="720"/>
        <w:rPr>
          <w:vertAlign w:val="baseline"/>
        </w:rPr>
      </w:pPr>
      <w:r w:rsidDel="00000000" w:rsidR="00000000" w:rsidRPr="00000000">
        <w:rPr>
          <w:vertAlign w:val="baseline"/>
          <w:rtl w:val="0"/>
        </w:rPr>
        <w:t xml:space="preserve">Công thức tính và ý nghĩa của các chỉ số trên được trình bày trong bảng 4 dưới đây:</w:t>
      </w:r>
    </w:p>
    <w:p w:rsidR="00000000" w:rsidDel="00000000" w:rsidP="00000000" w:rsidRDefault="00000000" w:rsidRPr="00000000" w14:paraId="00000073">
      <w:pPr>
        <w:jc w:val="center"/>
        <w:rPr>
          <w:b w:val="0"/>
          <w:i w:val="0"/>
          <w:vertAlign w:val="baseline"/>
        </w:rPr>
      </w:pPr>
      <w:r w:rsidDel="00000000" w:rsidR="00000000" w:rsidRPr="00000000">
        <w:rPr>
          <w:rtl w:val="0"/>
        </w:rPr>
      </w:r>
    </w:p>
    <w:p w:rsidR="00000000" w:rsidDel="00000000" w:rsidP="00000000" w:rsidRDefault="00000000" w:rsidRPr="00000000" w14:paraId="00000074">
      <w:pPr>
        <w:jc w:val="center"/>
        <w:rPr>
          <w:b w:val="0"/>
          <w:i w:val="0"/>
          <w:vertAlign w:val="baseline"/>
        </w:rPr>
      </w:pPr>
      <w:r w:rsidDel="00000000" w:rsidR="00000000" w:rsidRPr="00000000">
        <w:rPr>
          <w:b w:val="1"/>
          <w:i w:val="1"/>
          <w:vertAlign w:val="baseline"/>
          <w:rtl w:val="0"/>
        </w:rPr>
        <w:t xml:space="preserve">Bảng 4. Chỉ số đánh giá liều vào thể tích đích</w:t>
      </w:r>
      <w:r w:rsidDel="00000000" w:rsidR="00000000" w:rsidRPr="00000000">
        <w:rPr>
          <w:rtl w:val="0"/>
        </w:rPr>
      </w:r>
    </w:p>
    <w:tbl>
      <w:tblPr>
        <w:tblStyle w:val="Table4"/>
        <w:tblW w:w="965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000"/>
      </w:tblPr>
      <w:tblGrid>
        <w:gridCol w:w="950"/>
        <w:gridCol w:w="2600"/>
        <w:gridCol w:w="3442"/>
        <w:gridCol w:w="1193"/>
        <w:gridCol w:w="1465"/>
        <w:tblGridChange w:id="0">
          <w:tblGrid>
            <w:gridCol w:w="950"/>
            <w:gridCol w:w="2600"/>
            <w:gridCol w:w="3442"/>
            <w:gridCol w:w="1193"/>
            <w:gridCol w:w="1465"/>
          </w:tblGrid>
        </w:tblGridChange>
      </w:tblGrid>
      <w:tr>
        <w:trPr>
          <w:cantSplit w:val="0"/>
          <w:trHeight w:val="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75">
            <w:pPr>
              <w:jc w:val="center"/>
              <w:rPr>
                <w:b w:val="0"/>
                <w:vertAlign w:val="baseline"/>
              </w:rPr>
            </w:pPr>
            <w:r w:rsidDel="00000000" w:rsidR="00000000" w:rsidRPr="00000000">
              <w:rPr>
                <w:b w:val="1"/>
                <w:vertAlign w:val="baseline"/>
                <w:rtl w:val="0"/>
              </w:rPr>
              <w:t xml:space="preserve">Chỉ số</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6">
            <w:pPr>
              <w:jc w:val="center"/>
              <w:rPr>
                <w:b w:val="0"/>
                <w:vertAlign w:val="baseline"/>
              </w:rPr>
            </w:pPr>
            <w:r w:rsidDel="00000000" w:rsidR="00000000" w:rsidRPr="00000000">
              <w:rPr>
                <w:b w:val="1"/>
                <w:vertAlign w:val="baseline"/>
                <w:rtl w:val="0"/>
              </w:rPr>
              <w:t xml:space="preserve">Mô tả</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7">
            <w:pPr>
              <w:jc w:val="center"/>
              <w:rPr>
                <w:b w:val="0"/>
                <w:vertAlign w:val="baseline"/>
              </w:rPr>
            </w:pPr>
            <w:r w:rsidDel="00000000" w:rsidR="00000000" w:rsidRPr="00000000">
              <w:rPr>
                <w:b w:val="1"/>
                <w:vertAlign w:val="baseline"/>
                <w:rtl w:val="0"/>
              </w:rPr>
              <w:t xml:space="preserve">Cách tính</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8">
            <w:pPr>
              <w:jc w:val="center"/>
              <w:rPr>
                <w:b w:val="0"/>
                <w:vertAlign w:val="baseline"/>
              </w:rPr>
            </w:pPr>
            <w:r w:rsidDel="00000000" w:rsidR="00000000" w:rsidRPr="00000000">
              <w:rPr>
                <w:b w:val="1"/>
                <w:vertAlign w:val="baseline"/>
                <w:rtl w:val="0"/>
              </w:rPr>
              <w:t xml:space="preserve">Tiêu chuẩn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9">
            <w:pPr>
              <w:jc w:val="center"/>
              <w:rPr>
                <w:b w:val="0"/>
                <w:vertAlign w:val="baseline"/>
              </w:rPr>
            </w:pPr>
            <w:r w:rsidDel="00000000" w:rsidR="00000000" w:rsidRPr="00000000">
              <w:rPr>
                <w:b w:val="1"/>
                <w:vertAlign w:val="baseline"/>
                <w:rtl w:val="0"/>
              </w:rPr>
              <w:t xml:space="preserve">Chấp nhận</w:t>
            </w:r>
            <w:r w:rsidDel="00000000" w:rsidR="00000000" w:rsidRPr="00000000">
              <w:rPr>
                <w:rtl w:val="0"/>
              </w:rPr>
            </w:r>
          </w:p>
        </w:tc>
      </w:tr>
      <w:tr>
        <w:trPr>
          <w:cantSplit w:val="0"/>
          <w:trHeight w:val="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7A">
            <w:pPr>
              <w:jc w:val="center"/>
              <w:rPr>
                <w:b w:val="0"/>
                <w:vertAlign w:val="baseline"/>
              </w:rPr>
            </w:pPr>
            <w:r w:rsidDel="00000000" w:rsidR="00000000" w:rsidRPr="00000000">
              <w:rPr>
                <w:b w:val="1"/>
                <w:vertAlign w:val="baseline"/>
                <w:rtl w:val="0"/>
              </w:rPr>
              <w:t xml:space="preserve">D2%</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B">
            <w:pPr>
              <w:rPr>
                <w:vertAlign w:val="baseline"/>
              </w:rPr>
            </w:pPr>
            <w:r w:rsidDel="00000000" w:rsidR="00000000" w:rsidRPr="00000000">
              <w:rPr>
                <w:vertAlign w:val="baseline"/>
                <w:rtl w:val="0"/>
              </w:rPr>
              <w:t xml:space="preserve">Liều vào 2% thể tích đích</w:t>
            </w:r>
          </w:p>
        </w:tc>
        <w:tc>
          <w:tcPr>
            <w:tcBorders>
              <w:top w:color="000000" w:space="0" w:sz="4" w:val="single"/>
              <w:bottom w:color="000000" w:space="0" w:sz="4" w:val="single"/>
            </w:tcBorders>
            <w:vAlign w:val="center"/>
          </w:tcPr>
          <w:p w:rsidR="00000000" w:rsidDel="00000000" w:rsidP="00000000" w:rsidRDefault="00000000" w:rsidRPr="00000000" w14:paraId="0000007C">
            <w:pPr>
              <w:jc w:val="center"/>
              <w:rPr>
                <w:vertAlign w:val="baseline"/>
              </w:rPr>
            </w:pPr>
            <w:r w:rsidDel="00000000" w:rsidR="00000000" w:rsidRPr="00000000">
              <w:rPr>
                <w:vertAlign w:val="baseline"/>
                <w:rtl w:val="0"/>
              </w:rPr>
              <w:t xml:space="preserve">DVH</w:t>
            </w:r>
          </w:p>
        </w:tc>
        <w:tc>
          <w:tcPr>
            <w:gridSpan w:val="2"/>
            <w:tcBorders>
              <w:top w:color="000000" w:space="0" w:sz="4" w:val="single"/>
              <w:bottom w:color="000000" w:space="0" w:sz="4" w:val="single"/>
            </w:tcBorders>
            <w:vAlign w:val="center"/>
          </w:tcPr>
          <w:p w:rsidR="00000000" w:rsidDel="00000000" w:rsidP="00000000" w:rsidRDefault="00000000" w:rsidRPr="00000000" w14:paraId="0000007D">
            <w:pPr>
              <w:jc w:val="center"/>
              <w:rPr>
                <w:vertAlign w:val="baseline"/>
              </w:rPr>
            </w:pPr>
            <w:r w:rsidDel="00000000" w:rsidR="00000000" w:rsidRPr="00000000">
              <w:rPr>
                <w:vertAlign w:val="baseline"/>
                <w:rtl w:val="0"/>
              </w:rPr>
              <w:t xml:space="preserve">107 – 130% liều chỉ định</w:t>
            </w:r>
          </w:p>
        </w:tc>
      </w:tr>
      <w:tr>
        <w:trPr>
          <w:cantSplit w:val="0"/>
          <w:trHeight w:val="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7F">
            <w:pPr>
              <w:jc w:val="center"/>
              <w:rPr>
                <w:b w:val="0"/>
                <w:vertAlign w:val="baseline"/>
              </w:rPr>
            </w:pPr>
            <w:r w:rsidDel="00000000" w:rsidR="00000000" w:rsidRPr="00000000">
              <w:rPr>
                <w:b w:val="1"/>
                <w:vertAlign w:val="baseline"/>
                <w:rtl w:val="0"/>
              </w:rPr>
              <w:t xml:space="preserve">D98%</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0">
            <w:pPr>
              <w:rPr>
                <w:vertAlign w:val="baseline"/>
              </w:rPr>
            </w:pPr>
            <w:r w:rsidDel="00000000" w:rsidR="00000000" w:rsidRPr="00000000">
              <w:rPr>
                <w:vertAlign w:val="baseline"/>
                <w:rtl w:val="0"/>
              </w:rPr>
              <w:t xml:space="preserve">Liều vào 98% thể tích đích</w:t>
            </w:r>
          </w:p>
        </w:tc>
        <w:tc>
          <w:tcPr>
            <w:tcBorders>
              <w:top w:color="000000" w:space="0" w:sz="4" w:val="single"/>
              <w:bottom w:color="000000" w:space="0" w:sz="4" w:val="single"/>
            </w:tcBorders>
            <w:vAlign w:val="center"/>
          </w:tcPr>
          <w:p w:rsidR="00000000" w:rsidDel="00000000" w:rsidP="00000000" w:rsidRDefault="00000000" w:rsidRPr="00000000" w14:paraId="00000081">
            <w:pPr>
              <w:jc w:val="center"/>
              <w:rPr>
                <w:vertAlign w:val="baseline"/>
              </w:rPr>
            </w:pPr>
            <w:r w:rsidDel="00000000" w:rsidR="00000000" w:rsidRPr="00000000">
              <w:rPr>
                <w:vertAlign w:val="baseline"/>
                <w:rtl w:val="0"/>
              </w:rPr>
              <w:t xml:space="preserve">DVH</w:t>
            </w:r>
          </w:p>
        </w:tc>
        <w:tc>
          <w:tcPr>
            <w:gridSpan w:val="2"/>
            <w:tcBorders>
              <w:top w:color="000000" w:space="0" w:sz="4" w:val="single"/>
              <w:bottom w:color="000000" w:space="0" w:sz="4" w:val="single"/>
            </w:tcBorders>
            <w:vAlign w:val="center"/>
          </w:tcPr>
          <w:p w:rsidR="00000000" w:rsidDel="00000000" w:rsidP="00000000" w:rsidRDefault="00000000" w:rsidRPr="00000000" w14:paraId="00000082">
            <w:pPr>
              <w:jc w:val="center"/>
              <w:rPr>
                <w:vertAlign w:val="baseline"/>
              </w:rPr>
            </w:pPr>
            <w:r w:rsidDel="00000000" w:rsidR="00000000" w:rsidRPr="00000000">
              <w:rPr>
                <w:vertAlign w:val="baseline"/>
                <w:rtl w:val="0"/>
              </w:rPr>
              <w:t xml:space="preserve">&gt; 95% liều chỉ định</w:t>
            </w:r>
          </w:p>
        </w:tc>
      </w:tr>
      <w:tr>
        <w:trPr>
          <w:cantSplit w:val="0"/>
          <w:trHeight w:val="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84">
            <w:pPr>
              <w:jc w:val="center"/>
              <w:rPr>
                <w:b w:val="0"/>
                <w:vertAlign w:val="baseline"/>
              </w:rPr>
            </w:pPr>
            <w:r w:rsidDel="00000000" w:rsidR="00000000" w:rsidRPr="00000000">
              <w:rPr>
                <w:b w:val="1"/>
                <w:vertAlign w:val="baseline"/>
                <w:rtl w:val="0"/>
              </w:rPr>
              <w:t xml:space="preserve">Dmean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5">
            <w:pPr>
              <w:rPr>
                <w:vertAlign w:val="baseline"/>
              </w:rPr>
            </w:pPr>
            <w:r w:rsidDel="00000000" w:rsidR="00000000" w:rsidRPr="00000000">
              <w:rPr>
                <w:vertAlign w:val="baseline"/>
                <w:rtl w:val="0"/>
              </w:rPr>
              <w:t xml:space="preserve">Liều trung bình vào thể tích đích</w:t>
            </w:r>
          </w:p>
        </w:tc>
        <w:tc>
          <w:tcPr>
            <w:tcBorders>
              <w:top w:color="000000" w:space="0" w:sz="4" w:val="single"/>
              <w:bottom w:color="000000" w:space="0" w:sz="4" w:val="single"/>
            </w:tcBorders>
            <w:vAlign w:val="center"/>
          </w:tcPr>
          <w:p w:rsidR="00000000" w:rsidDel="00000000" w:rsidP="00000000" w:rsidRDefault="00000000" w:rsidRPr="00000000" w14:paraId="00000086">
            <w:pPr>
              <w:jc w:val="center"/>
              <w:rPr>
                <w:vertAlign w:val="baseline"/>
              </w:rPr>
            </w:pPr>
            <w:r w:rsidDel="00000000" w:rsidR="00000000" w:rsidRPr="00000000">
              <w:rPr>
                <w:vertAlign w:val="baseline"/>
                <w:rtl w:val="0"/>
              </w:rPr>
              <w:t xml:space="preserve">DVH</w:t>
            </w:r>
          </w:p>
        </w:tc>
        <w:tc>
          <w:tcPr>
            <w:gridSpan w:val="2"/>
            <w:tcBorders>
              <w:top w:color="000000" w:space="0" w:sz="4" w:val="single"/>
              <w:bottom w:color="000000" w:space="0" w:sz="4" w:val="single"/>
            </w:tcBorders>
            <w:vAlign w:val="center"/>
          </w:tcPr>
          <w:p w:rsidR="00000000" w:rsidDel="00000000" w:rsidP="00000000" w:rsidRDefault="00000000" w:rsidRPr="00000000" w14:paraId="00000087">
            <w:pPr>
              <w:jc w:val="center"/>
              <w:rPr>
                <w:vertAlign w:val="baseline"/>
              </w:rPr>
            </w:pPr>
            <w:r w:rsidDel="00000000" w:rsidR="00000000" w:rsidRPr="00000000">
              <w:rPr>
                <w:vertAlign w:val="baseline"/>
                <w:rtl w:val="0"/>
              </w:rPr>
              <w:t xml:space="preserve">≥ 100% liều chỉ đỉnh</w:t>
            </w:r>
          </w:p>
        </w:tc>
      </w:tr>
      <w:tr>
        <w:trPr>
          <w:cantSplit w:val="0"/>
          <w:trHeight w:val="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89">
            <w:pPr>
              <w:jc w:val="center"/>
              <w:rPr>
                <w:b w:val="0"/>
                <w:vertAlign w:val="baseline"/>
              </w:rPr>
            </w:pPr>
            <w:r w:rsidDel="00000000" w:rsidR="00000000" w:rsidRPr="00000000">
              <w:rPr>
                <w:b w:val="1"/>
                <w:vertAlign w:val="baseline"/>
                <w:rtl w:val="0"/>
              </w:rPr>
              <w:t xml:space="preserve">CI</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A">
            <w:pPr>
              <w:rPr>
                <w:vertAlign w:val="baseline"/>
              </w:rPr>
            </w:pPr>
            <w:r w:rsidDel="00000000" w:rsidR="00000000" w:rsidRPr="00000000">
              <w:rPr>
                <w:vertAlign w:val="baseline"/>
                <w:rtl w:val="0"/>
              </w:rPr>
              <w:t xml:space="preserve">Mức độ phù hợp của vùng liều 100% so với thể tích đích</w:t>
            </w:r>
          </w:p>
        </w:tc>
        <w:tc>
          <w:tcPr>
            <w:tcBorders>
              <w:top w:color="000000" w:space="0" w:sz="4" w:val="single"/>
              <w:bottom w:color="000000" w:space="0" w:sz="4" w:val="single"/>
            </w:tcBorders>
            <w:vAlign w:val="center"/>
          </w:tcPr>
          <w:p w:rsidR="00000000" w:rsidDel="00000000" w:rsidP="00000000" w:rsidRDefault="00000000" w:rsidRPr="00000000" w14:paraId="0000008B">
            <w:pPr>
              <w:jc w:val="center"/>
              <w:rPr>
                <w:vertAlign w:val="baseline"/>
              </w:rPr>
            </w:pPr>
            <w:r w:rsidDel="00000000" w:rsidR="00000000" w:rsidRPr="00000000">
              <w:rPr>
                <w:vertAlign w:val="baseline"/>
              </w:rPr>
              <w:drawing>
                <wp:inline distB="0" distT="0" distL="114300" distR="114300">
                  <wp:extent cx="1962150" cy="32385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962150" cy="323850"/>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C">
            <w:pPr>
              <w:jc w:val="center"/>
              <w:rPr>
                <w:vertAlign w:val="baseline"/>
              </w:rPr>
            </w:pPr>
            <w:r w:rsidDel="00000000" w:rsidR="00000000" w:rsidRPr="00000000">
              <w:rPr>
                <w:vertAlign w:val="baseline"/>
                <w:rtl w:val="0"/>
              </w:rPr>
              <w:t xml:space="preserve">1 – 1,2</w:t>
            </w:r>
          </w:p>
        </w:tc>
        <w:tc>
          <w:tcPr>
            <w:tcBorders>
              <w:top w:color="000000" w:space="0" w:sz="4" w:val="single"/>
              <w:bottom w:color="000000" w:space="0" w:sz="4" w:val="single"/>
            </w:tcBorders>
            <w:vAlign w:val="center"/>
          </w:tcPr>
          <w:p w:rsidR="00000000" w:rsidDel="00000000" w:rsidP="00000000" w:rsidRDefault="00000000" w:rsidRPr="00000000" w14:paraId="0000008D">
            <w:pPr>
              <w:jc w:val="center"/>
              <w:rPr>
                <w:vertAlign w:val="baseline"/>
              </w:rPr>
            </w:pPr>
            <w:r w:rsidDel="00000000" w:rsidR="00000000" w:rsidRPr="00000000">
              <w:rPr>
                <w:vertAlign w:val="baseline"/>
                <w:rtl w:val="0"/>
              </w:rPr>
              <w:t xml:space="preserve">0,9 – 1 hoặc 1,2 – 2</w:t>
            </w:r>
          </w:p>
        </w:tc>
      </w:tr>
      <w:tr>
        <w:trPr>
          <w:cantSplit w:val="0"/>
          <w:trHeight w:val="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8E">
            <w:pPr>
              <w:jc w:val="center"/>
              <w:rPr>
                <w:b w:val="0"/>
                <w:vertAlign w:val="baseline"/>
              </w:rPr>
            </w:pPr>
            <w:r w:rsidDel="00000000" w:rsidR="00000000" w:rsidRPr="00000000">
              <w:rPr>
                <w:b w:val="1"/>
                <w:vertAlign w:val="baseline"/>
                <w:rtl w:val="0"/>
              </w:rPr>
              <w:t xml:space="preserve">CI50</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F">
            <w:pPr>
              <w:rPr>
                <w:vertAlign w:val="baseline"/>
              </w:rPr>
            </w:pPr>
            <w:r w:rsidDel="00000000" w:rsidR="00000000" w:rsidRPr="00000000">
              <w:rPr>
                <w:vertAlign w:val="baseline"/>
                <w:rtl w:val="0"/>
              </w:rPr>
              <w:t xml:space="preserve">Mức độ phù hợp của vùng liều 50% so với thể tích đích</w:t>
            </w:r>
          </w:p>
        </w:tc>
        <w:tc>
          <w:tcPr>
            <w:tcBorders>
              <w:top w:color="000000" w:space="0" w:sz="4" w:val="single"/>
              <w:bottom w:color="000000" w:space="0" w:sz="4" w:val="single"/>
            </w:tcBorders>
            <w:vAlign w:val="center"/>
          </w:tcPr>
          <w:p w:rsidR="00000000" w:rsidDel="00000000" w:rsidP="00000000" w:rsidRDefault="00000000" w:rsidRPr="00000000" w14:paraId="00000090">
            <w:pPr>
              <w:jc w:val="center"/>
              <w:rPr>
                <w:vertAlign w:val="baseline"/>
              </w:rPr>
            </w:pPr>
            <w:r w:rsidDel="00000000" w:rsidR="00000000" w:rsidRPr="00000000">
              <w:rPr>
                <w:vertAlign w:val="baseline"/>
              </w:rPr>
              <w:drawing>
                <wp:inline distB="0" distT="0" distL="114300" distR="114300">
                  <wp:extent cx="1885950" cy="32385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885950" cy="323850"/>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1">
            <w:pPr>
              <w:jc w:val="center"/>
              <w:rPr>
                <w:vertAlign w:val="baseline"/>
              </w:rPr>
            </w:pPr>
            <w:r w:rsidDel="00000000" w:rsidR="00000000" w:rsidRPr="00000000">
              <w:rPr>
                <w:vertAlign w:val="baseline"/>
                <w:rtl w:val="0"/>
              </w:rPr>
              <w:t xml:space="preserve">3 – 7,5</w:t>
            </w:r>
          </w:p>
        </w:tc>
        <w:tc>
          <w:tcPr>
            <w:tcBorders>
              <w:top w:color="000000" w:space="0" w:sz="4" w:val="single"/>
              <w:bottom w:color="000000" w:space="0" w:sz="4" w:val="single"/>
            </w:tcBorders>
            <w:vAlign w:val="center"/>
          </w:tcPr>
          <w:p w:rsidR="00000000" w:rsidDel="00000000" w:rsidP="00000000" w:rsidRDefault="00000000" w:rsidRPr="00000000" w14:paraId="00000092">
            <w:pPr>
              <w:jc w:val="center"/>
              <w:rPr>
                <w:vertAlign w:val="baseline"/>
              </w:rPr>
            </w:pPr>
            <w:r w:rsidDel="00000000" w:rsidR="00000000" w:rsidRPr="00000000">
              <w:rPr>
                <w:vertAlign w:val="baseline"/>
                <w:rtl w:val="0"/>
              </w:rPr>
              <w:t xml:space="preserve">Càng thấp càng tốt</w:t>
            </w:r>
          </w:p>
        </w:tc>
      </w:tr>
      <w:tr>
        <w:trPr>
          <w:cantSplit w:val="0"/>
          <w:trHeight w:val="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93">
            <w:pPr>
              <w:jc w:val="center"/>
              <w:rPr>
                <w:b w:val="0"/>
                <w:vertAlign w:val="baseline"/>
              </w:rPr>
            </w:pPr>
            <w:r w:rsidDel="00000000" w:rsidR="00000000" w:rsidRPr="00000000">
              <w:rPr>
                <w:b w:val="1"/>
                <w:vertAlign w:val="baseline"/>
                <w:rtl w:val="0"/>
              </w:rPr>
              <w:t xml:space="preserve">HI</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4">
            <w:pPr>
              <w:rPr>
                <w:vertAlign w:val="baseline"/>
              </w:rPr>
            </w:pPr>
            <w:r w:rsidDel="00000000" w:rsidR="00000000" w:rsidRPr="00000000">
              <w:rPr>
                <w:vertAlign w:val="baseline"/>
                <w:rtl w:val="0"/>
              </w:rPr>
              <w:t xml:space="preserve">Độ đồng nhất về phân bố liều trên thể tích đích</w:t>
            </w:r>
          </w:p>
        </w:tc>
        <w:tc>
          <w:tcPr>
            <w:tcBorders>
              <w:top w:color="000000" w:space="0" w:sz="4" w:val="single"/>
              <w:bottom w:color="000000" w:space="0" w:sz="4" w:val="single"/>
            </w:tcBorders>
            <w:vAlign w:val="center"/>
          </w:tcPr>
          <w:p w:rsidR="00000000" w:rsidDel="00000000" w:rsidP="00000000" w:rsidRDefault="00000000" w:rsidRPr="00000000" w14:paraId="00000095">
            <w:pPr>
              <w:jc w:val="center"/>
              <w:rPr>
                <w:vertAlign w:val="baseline"/>
              </w:rPr>
            </w:pPr>
            <w:r w:rsidDel="00000000" w:rsidR="00000000" w:rsidRPr="00000000">
              <w:rPr>
                <w:vertAlign w:val="baseline"/>
              </w:rPr>
              <w:drawing>
                <wp:inline distB="0" distT="0" distL="114300" distR="114300">
                  <wp:extent cx="790575" cy="323850"/>
                  <wp:effectExtent b="0" l="0" r="0" t="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790575" cy="323850"/>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6">
            <w:pPr>
              <w:jc w:val="center"/>
              <w:rPr>
                <w:vertAlign w:val="baseline"/>
              </w:rPr>
            </w:pPr>
            <w:r w:rsidDel="00000000" w:rsidR="00000000" w:rsidRPr="00000000">
              <w:rPr>
                <w:rFonts w:ascii="Gungsuh" w:cs="Gungsuh" w:eastAsia="Gungsuh" w:hAnsi="Gungsuh"/>
                <w:vertAlign w:val="baseline"/>
                <w:rtl w:val="0"/>
              </w:rPr>
              <w:t xml:space="preserve">≤ 1,25</w:t>
            </w:r>
          </w:p>
        </w:tc>
        <w:tc>
          <w:tcPr>
            <w:tcBorders>
              <w:top w:color="000000" w:space="0" w:sz="4" w:val="single"/>
              <w:bottom w:color="000000" w:space="0" w:sz="4" w:val="single"/>
            </w:tcBorders>
            <w:vAlign w:val="center"/>
          </w:tcPr>
          <w:p w:rsidR="00000000" w:rsidDel="00000000" w:rsidP="00000000" w:rsidRDefault="00000000" w:rsidRPr="00000000" w14:paraId="00000097">
            <w:pPr>
              <w:jc w:val="center"/>
              <w:rPr>
                <w:vertAlign w:val="baseline"/>
              </w:rPr>
            </w:pPr>
            <w:r w:rsidDel="00000000" w:rsidR="00000000" w:rsidRPr="00000000">
              <w:rPr>
                <w:rFonts w:ascii="Gungsuh" w:cs="Gungsuh" w:eastAsia="Gungsuh" w:hAnsi="Gungsuh"/>
                <w:vertAlign w:val="baseline"/>
                <w:rtl w:val="0"/>
              </w:rPr>
              <w:t xml:space="preserve">≤ 2</w:t>
            </w:r>
          </w:p>
        </w:tc>
      </w:tr>
      <w:tr>
        <w:trPr>
          <w:cantSplit w:val="0"/>
          <w:trHeight w:val="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98">
            <w:pPr>
              <w:jc w:val="center"/>
              <w:rPr>
                <w:b w:val="0"/>
                <w:vertAlign w:val="baseline"/>
              </w:rPr>
            </w:pPr>
            <w:r w:rsidDel="00000000" w:rsidR="00000000" w:rsidRPr="00000000">
              <w:rPr>
                <w:b w:val="1"/>
                <w:vertAlign w:val="baseline"/>
                <w:rtl w:val="0"/>
              </w:rPr>
              <w:t xml:space="preserve">GI</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9">
            <w:pPr>
              <w:rPr>
                <w:vertAlign w:val="baseline"/>
              </w:rPr>
            </w:pPr>
            <w:r w:rsidDel="00000000" w:rsidR="00000000" w:rsidRPr="00000000">
              <w:rPr>
                <w:vertAlign w:val="baseline"/>
                <w:rtl w:val="0"/>
              </w:rPr>
              <w:t xml:space="preserve">Mức độ suy giảm liều khi ra khỏi thể tích đích</w:t>
            </w:r>
          </w:p>
        </w:tc>
        <w:tc>
          <w:tcPr>
            <w:tcBorders>
              <w:top w:color="000000" w:space="0" w:sz="4" w:val="single"/>
              <w:bottom w:color="000000" w:space="0" w:sz="4" w:val="single"/>
            </w:tcBorders>
            <w:vAlign w:val="center"/>
          </w:tcPr>
          <w:p w:rsidR="00000000" w:rsidDel="00000000" w:rsidP="00000000" w:rsidRDefault="00000000" w:rsidRPr="00000000" w14:paraId="0000009A">
            <w:pPr>
              <w:jc w:val="center"/>
              <w:rPr>
                <w:vertAlign w:val="baseline"/>
              </w:rPr>
            </w:pPr>
            <w:r w:rsidDel="00000000" w:rsidR="00000000" w:rsidRPr="00000000">
              <w:rPr>
                <w:vertAlign w:val="baseline"/>
              </w:rPr>
              <w:drawing>
                <wp:inline distB="0" distT="0" distL="114300" distR="114300">
                  <wp:extent cx="1962150" cy="352425"/>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962150" cy="352425"/>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B">
            <w:pPr>
              <w:jc w:val="center"/>
              <w:rPr>
                <w:vertAlign w:val="baseline"/>
              </w:rPr>
            </w:pPr>
            <w:r w:rsidDel="00000000" w:rsidR="00000000" w:rsidRPr="00000000">
              <w:rPr>
                <w:vertAlign w:val="baseline"/>
                <w:rtl w:val="0"/>
              </w:rPr>
              <w:t xml:space="preserve">3 – 5</w:t>
            </w:r>
          </w:p>
        </w:tc>
        <w:tc>
          <w:tcPr>
            <w:tcBorders>
              <w:top w:color="000000" w:space="0" w:sz="4" w:val="single"/>
              <w:bottom w:color="000000" w:space="0" w:sz="4" w:val="single"/>
            </w:tcBorders>
            <w:vAlign w:val="center"/>
          </w:tcPr>
          <w:p w:rsidR="00000000" w:rsidDel="00000000" w:rsidP="00000000" w:rsidRDefault="00000000" w:rsidRPr="00000000" w14:paraId="0000009C">
            <w:pPr>
              <w:jc w:val="center"/>
              <w:rPr>
                <w:vertAlign w:val="baseline"/>
              </w:rPr>
            </w:pPr>
            <w:r w:rsidDel="00000000" w:rsidR="00000000" w:rsidRPr="00000000">
              <w:rPr>
                <w:rFonts w:ascii="Gungsuh" w:cs="Gungsuh" w:eastAsia="Gungsuh" w:hAnsi="Gungsuh"/>
                <w:vertAlign w:val="baseline"/>
                <w:rtl w:val="0"/>
              </w:rPr>
              <w:t xml:space="preserve">≤ 3</w:t>
            </w:r>
          </w:p>
        </w:tc>
      </w:tr>
    </w:tbl>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ind w:firstLine="284"/>
        <w:rPr>
          <w:b w:val="0"/>
          <w:vertAlign w:val="baseline"/>
        </w:rPr>
      </w:pPr>
      <w:r w:rsidDel="00000000" w:rsidR="00000000" w:rsidRPr="00000000">
        <w:rPr>
          <w:b w:val="1"/>
          <w:vertAlign w:val="baseline"/>
          <w:rtl w:val="0"/>
        </w:rPr>
        <w:t xml:space="preserve">2.3. Xử lý số liệu:</w:t>
      </w:r>
      <w:r w:rsidDel="00000000" w:rsidR="00000000" w:rsidRPr="00000000">
        <w:rPr>
          <w:rtl w:val="0"/>
        </w:rPr>
      </w:r>
    </w:p>
    <w:p w:rsidR="00000000" w:rsidDel="00000000" w:rsidP="00000000" w:rsidRDefault="00000000" w:rsidRPr="00000000" w14:paraId="0000009F">
      <w:pPr>
        <w:ind w:firstLine="720"/>
        <w:rPr>
          <w:vertAlign w:val="baseline"/>
        </w:rPr>
      </w:pPr>
      <w:r w:rsidDel="00000000" w:rsidR="00000000" w:rsidRPr="00000000">
        <w:rPr>
          <w:vertAlign w:val="baseline"/>
          <w:rtl w:val="0"/>
        </w:rPr>
        <w:t xml:space="preserve">Nhóm nghiên cứu sẽ so sánh mức độ thay đổi giữa kế hoạch xạ phẫu sử dụng kỹ thuật DCAT và kế hoạch xạ phẫu sử dụng kỹ thuật VMAT bằng cách sử dụng phép kiểm định T-test mẫu bắt cặp với mức ý nghĩa được ấn định là 5%. Sau đó sẽ tiến hành tính toán giá trị p và rút ra kết luận từ các kết quả phân tích.</w:t>
      </w:r>
    </w:p>
    <w:p w:rsidR="00000000" w:rsidDel="00000000" w:rsidP="00000000" w:rsidRDefault="00000000" w:rsidRPr="00000000" w14:paraId="000000A0">
      <w:pPr>
        <w:ind w:firstLine="720"/>
        <w:rPr>
          <w:vertAlign w:val="baseline"/>
        </w:rPr>
      </w:pPr>
      <w:r w:rsidDel="00000000" w:rsidR="00000000" w:rsidRPr="00000000">
        <w:rPr>
          <w:vertAlign w:val="baseline"/>
          <w:rtl w:val="0"/>
        </w:rPr>
        <w:t xml:space="preserve">Giả thuyết đặt ra là:</w:t>
      </w:r>
    </w:p>
    <w:p w:rsidR="00000000" w:rsidDel="00000000" w:rsidP="00000000" w:rsidRDefault="00000000" w:rsidRPr="00000000" w14:paraId="000000A1">
      <w:pPr>
        <w:numPr>
          <w:ilvl w:val="0"/>
          <w:numId w:val="1"/>
        </w:numPr>
        <w:ind w:left="993" w:hanging="283.9999999999999"/>
        <w:rPr/>
      </w:pPr>
      <w:r w:rsidDel="00000000" w:rsidR="00000000" w:rsidRPr="00000000">
        <w:rPr>
          <w:vertAlign w:val="baseline"/>
          <w:rtl w:val="0"/>
        </w:rPr>
        <w:t xml:space="preserve">H</w:t>
      </w:r>
      <w:r w:rsidDel="00000000" w:rsidR="00000000" w:rsidRPr="00000000">
        <w:rPr>
          <w:vertAlign w:val="subscript"/>
          <w:rtl w:val="0"/>
        </w:rPr>
        <w:t xml:space="preserve">0</w:t>
      </w:r>
      <w:r w:rsidDel="00000000" w:rsidR="00000000" w:rsidRPr="00000000">
        <w:rPr>
          <w:vertAlign w:val="baseline"/>
          <w:rtl w:val="0"/>
        </w:rPr>
        <w:t xml:space="preserve">: Không có sự khác biệt thông số về bướu và cơ quan lành giữa kỹ thuật DCAT và kỹ thuật VMAT với mức ý nghĩa 5% (Giá trị p ≥ 0,05).</w:t>
      </w:r>
    </w:p>
    <w:p w:rsidR="00000000" w:rsidDel="00000000" w:rsidP="00000000" w:rsidRDefault="00000000" w:rsidRPr="00000000" w14:paraId="000000A2">
      <w:pPr>
        <w:numPr>
          <w:ilvl w:val="0"/>
          <w:numId w:val="1"/>
        </w:numPr>
        <w:ind w:left="993" w:hanging="283.9999999999999"/>
        <w:rPr/>
      </w:pPr>
      <w:r w:rsidDel="00000000" w:rsidR="00000000" w:rsidRPr="00000000">
        <w:rPr>
          <w:vertAlign w:val="baseline"/>
          <w:rtl w:val="0"/>
        </w:rPr>
        <w:t xml:space="preserve">H</w:t>
      </w:r>
      <w:r w:rsidDel="00000000" w:rsidR="00000000" w:rsidRPr="00000000">
        <w:rPr>
          <w:vertAlign w:val="subscript"/>
          <w:rtl w:val="0"/>
        </w:rPr>
        <w:t xml:space="preserve">1</w:t>
      </w:r>
      <w:r w:rsidDel="00000000" w:rsidR="00000000" w:rsidRPr="00000000">
        <w:rPr>
          <w:vertAlign w:val="baseline"/>
          <w:rtl w:val="0"/>
        </w:rPr>
        <w:t xml:space="preserve">: Kỹ thuật VMAT giúp các thông số về bướu và cơ quan lành tốt hơn so với kỹ thuật DCAT (Giá trị p &lt; 0,05).</w:t>
      </w:r>
    </w:p>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b w:val="0"/>
          <w:vertAlign w:val="baseline"/>
        </w:rPr>
      </w:pPr>
      <w:r w:rsidDel="00000000" w:rsidR="00000000" w:rsidRPr="00000000">
        <w:rPr>
          <w:b w:val="1"/>
          <w:vertAlign w:val="baseline"/>
          <w:rtl w:val="0"/>
        </w:rPr>
        <w:t xml:space="preserve">III. KẾT QUẢ NGHIÊN CỨU</w:t>
      </w:r>
      <w:r w:rsidDel="00000000" w:rsidR="00000000" w:rsidRPr="00000000">
        <w:rPr>
          <w:rtl w:val="0"/>
        </w:rPr>
      </w:r>
    </w:p>
    <w:p w:rsidR="00000000" w:rsidDel="00000000" w:rsidP="00000000" w:rsidRDefault="00000000" w:rsidRPr="00000000" w14:paraId="000000A5">
      <w:pPr>
        <w:ind w:firstLine="284"/>
        <w:rPr>
          <w:vertAlign w:val="baseline"/>
        </w:rPr>
      </w:pPr>
      <w:r w:rsidDel="00000000" w:rsidR="00000000" w:rsidRPr="00000000">
        <w:rPr>
          <w:vertAlign w:val="baseline"/>
          <w:rtl w:val="0"/>
        </w:rPr>
        <w:t xml:space="preserve">Liều vào PTV: Liều vào 2% và 98% thể tích PTV, liều trung bình vào PTV và các chỉ số ở kế hoạch xạ phẫu của hai kỹ thuật DCAT và kỹ thuật VMAT theo các nhóm được thể hiện trong bảng 5.</w:t>
      </w:r>
    </w:p>
    <w:p w:rsidR="00000000" w:rsidDel="00000000" w:rsidP="00000000" w:rsidRDefault="00000000" w:rsidRPr="00000000" w14:paraId="000000A6">
      <w:pPr>
        <w:jc w:val="center"/>
        <w:rPr>
          <w:b w:val="0"/>
          <w:i w:val="0"/>
          <w:vertAlign w:val="baseline"/>
        </w:rPr>
      </w:pPr>
      <w:r w:rsidDel="00000000" w:rsidR="00000000" w:rsidRPr="00000000">
        <w:rPr>
          <w:rtl w:val="0"/>
        </w:rPr>
      </w:r>
    </w:p>
    <w:p w:rsidR="00000000" w:rsidDel="00000000" w:rsidP="00000000" w:rsidRDefault="00000000" w:rsidRPr="00000000" w14:paraId="000000A7">
      <w:pPr>
        <w:jc w:val="center"/>
        <w:rPr>
          <w:b w:val="0"/>
          <w:i w:val="0"/>
          <w:vertAlign w:val="baseline"/>
        </w:rPr>
      </w:pPr>
      <w:r w:rsidDel="00000000" w:rsidR="00000000" w:rsidRPr="00000000">
        <w:rPr>
          <w:b w:val="1"/>
          <w:i w:val="1"/>
          <w:vertAlign w:val="baseline"/>
          <w:rtl w:val="0"/>
        </w:rPr>
        <w:t xml:space="preserve">Bảng 5. Tổng hợp liều vào PTV của các nhóm</w:t>
      </w:r>
      <w:r w:rsidDel="00000000" w:rsidR="00000000" w:rsidRPr="00000000">
        <w:rPr>
          <w:rtl w:val="0"/>
        </w:rPr>
      </w:r>
    </w:p>
    <w:tbl>
      <w:tblPr>
        <w:tblStyle w:val="Table5"/>
        <w:tblW w:w="1062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990"/>
        <w:gridCol w:w="990"/>
        <w:gridCol w:w="1440"/>
        <w:gridCol w:w="1440"/>
        <w:gridCol w:w="990"/>
        <w:gridCol w:w="1440"/>
        <w:gridCol w:w="1440"/>
        <w:gridCol w:w="990"/>
        <w:tblGridChange w:id="0">
          <w:tblGrid>
            <w:gridCol w:w="900"/>
            <w:gridCol w:w="990"/>
            <w:gridCol w:w="990"/>
            <w:gridCol w:w="1440"/>
            <w:gridCol w:w="1440"/>
            <w:gridCol w:w="990"/>
            <w:gridCol w:w="1440"/>
            <w:gridCol w:w="1440"/>
            <w:gridCol w:w="990"/>
          </w:tblGrid>
        </w:tblGridChange>
      </w:tblGrid>
      <w:tr>
        <w:trPr>
          <w:cantSplit w:val="1"/>
          <w:tblHeader w:val="0"/>
        </w:trPr>
        <w:tc>
          <w:tcPr>
            <w:vMerge w:val="restart"/>
            <w:vAlign w:val="center"/>
          </w:tcPr>
          <w:p w:rsidR="00000000" w:rsidDel="00000000" w:rsidP="00000000" w:rsidRDefault="00000000" w:rsidRPr="00000000" w14:paraId="000000A8">
            <w:pPr>
              <w:jc w:val="center"/>
              <w:rPr>
                <w:b w:val="0"/>
                <w:vertAlign w:val="baseline"/>
              </w:rPr>
            </w:pPr>
            <w:r w:rsidDel="00000000" w:rsidR="00000000" w:rsidRPr="00000000">
              <w:rPr>
                <w:b w:val="1"/>
                <w:vertAlign w:val="baseline"/>
                <w:rtl w:val="0"/>
              </w:rPr>
              <w:t xml:space="preserve">Tiêu chí</w:t>
            </w:r>
            <w:r w:rsidDel="00000000" w:rsidR="00000000" w:rsidRPr="00000000">
              <w:rPr>
                <w:rtl w:val="0"/>
              </w:rPr>
            </w:r>
          </w:p>
        </w:tc>
        <w:tc>
          <w:tcPr>
            <w:gridSpan w:val="2"/>
            <w:vAlign w:val="center"/>
          </w:tcPr>
          <w:p w:rsidR="00000000" w:rsidDel="00000000" w:rsidP="00000000" w:rsidRDefault="00000000" w:rsidRPr="00000000" w14:paraId="000000A9">
            <w:pPr>
              <w:jc w:val="center"/>
              <w:rPr>
                <w:b w:val="0"/>
                <w:vertAlign w:val="baseline"/>
              </w:rPr>
            </w:pPr>
            <w:r w:rsidDel="00000000" w:rsidR="00000000" w:rsidRPr="00000000">
              <w:rPr>
                <w:b w:val="1"/>
                <w:vertAlign w:val="baseline"/>
                <w:rtl w:val="0"/>
              </w:rPr>
              <w:t xml:space="preserve">PTV &lt; 2 cm</w:t>
            </w:r>
            <w:r w:rsidDel="00000000" w:rsidR="00000000" w:rsidRPr="00000000">
              <w:rPr>
                <w:b w:val="1"/>
                <w:vertAlign w:val="superscript"/>
                <w:rtl w:val="0"/>
              </w:rPr>
              <w:t xml:space="preserve">3</w:t>
            </w:r>
            <w:r w:rsidDel="00000000" w:rsidR="00000000" w:rsidRPr="00000000">
              <w:rPr>
                <w:rtl w:val="0"/>
              </w:rPr>
            </w:r>
          </w:p>
        </w:tc>
        <w:tc>
          <w:tcPr>
            <w:gridSpan w:val="3"/>
            <w:vAlign w:val="center"/>
          </w:tcPr>
          <w:p w:rsidR="00000000" w:rsidDel="00000000" w:rsidP="00000000" w:rsidRDefault="00000000" w:rsidRPr="00000000" w14:paraId="000000AB">
            <w:pPr>
              <w:jc w:val="center"/>
              <w:rPr>
                <w:b w:val="0"/>
                <w:vertAlign w:val="baseline"/>
              </w:rPr>
            </w:pPr>
            <w:r w:rsidDel="00000000" w:rsidR="00000000" w:rsidRPr="00000000">
              <w:rPr>
                <w:b w:val="1"/>
                <w:vertAlign w:val="baseline"/>
                <w:rtl w:val="0"/>
              </w:rPr>
              <w:t xml:space="preserve">2 cm</w:t>
            </w:r>
            <w:r w:rsidDel="00000000" w:rsidR="00000000" w:rsidRPr="00000000">
              <w:rPr>
                <w:b w:val="1"/>
                <w:vertAlign w:val="superscript"/>
                <w:rtl w:val="0"/>
              </w:rPr>
              <w:t xml:space="preserve">3</w:t>
            </w:r>
            <w:r w:rsidDel="00000000" w:rsidR="00000000" w:rsidRPr="00000000">
              <w:rPr>
                <w:rFonts w:ascii="Gungsuh" w:cs="Gungsuh" w:eastAsia="Gungsuh" w:hAnsi="Gungsuh"/>
                <w:b w:val="1"/>
                <w:vertAlign w:val="baseline"/>
                <w:rtl w:val="0"/>
              </w:rPr>
              <w:t xml:space="preserve"> ≤ PTV ≤ 10 cm</w:t>
            </w:r>
            <w:r w:rsidDel="00000000" w:rsidR="00000000" w:rsidRPr="00000000">
              <w:rPr>
                <w:b w:val="1"/>
                <w:vertAlign w:val="superscript"/>
                <w:rtl w:val="0"/>
              </w:rPr>
              <w:t xml:space="preserve">3</w:t>
            </w:r>
            <w:r w:rsidDel="00000000" w:rsidR="00000000" w:rsidRPr="00000000">
              <w:rPr>
                <w:rtl w:val="0"/>
              </w:rPr>
            </w:r>
          </w:p>
        </w:tc>
        <w:tc>
          <w:tcPr>
            <w:gridSpan w:val="3"/>
            <w:vAlign w:val="center"/>
          </w:tcPr>
          <w:p w:rsidR="00000000" w:rsidDel="00000000" w:rsidP="00000000" w:rsidRDefault="00000000" w:rsidRPr="00000000" w14:paraId="000000AE">
            <w:pPr>
              <w:jc w:val="center"/>
              <w:rPr>
                <w:b w:val="0"/>
                <w:vertAlign w:val="baseline"/>
              </w:rPr>
            </w:pPr>
            <w:r w:rsidDel="00000000" w:rsidR="00000000" w:rsidRPr="00000000">
              <w:rPr>
                <w:b w:val="1"/>
                <w:vertAlign w:val="baseline"/>
                <w:rtl w:val="0"/>
              </w:rPr>
              <w:t xml:space="preserve">PTV &gt; 10 cm</w:t>
            </w:r>
            <w:r w:rsidDel="00000000" w:rsidR="00000000" w:rsidRPr="00000000">
              <w:rPr>
                <w:b w:val="1"/>
                <w:vertAlign w:val="superscript"/>
                <w:rtl w:val="0"/>
              </w:rPr>
              <w:t xml:space="preserve">3</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center"/>
          </w:tcPr>
          <w:p w:rsidR="00000000" w:rsidDel="00000000" w:rsidP="00000000" w:rsidRDefault="00000000" w:rsidRPr="00000000" w14:paraId="000000B2">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0B3">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0B4">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0B5">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0B6">
            <w:pPr>
              <w:jc w:val="center"/>
              <w:rPr>
                <w:b w:val="0"/>
                <w:vertAlign w:val="baseline"/>
              </w:rPr>
            </w:pPr>
            <w:r w:rsidDel="00000000" w:rsidR="00000000" w:rsidRPr="00000000">
              <w:rPr>
                <w:b w:val="1"/>
                <w:vertAlign w:val="baseline"/>
                <w:rtl w:val="0"/>
              </w:rPr>
              <w:t xml:space="preserve">Giá trị p</w:t>
            </w:r>
            <w:r w:rsidDel="00000000" w:rsidR="00000000" w:rsidRPr="00000000">
              <w:rPr>
                <w:rtl w:val="0"/>
              </w:rPr>
            </w:r>
          </w:p>
        </w:tc>
        <w:tc>
          <w:tcPr>
            <w:vAlign w:val="center"/>
          </w:tcPr>
          <w:p w:rsidR="00000000" w:rsidDel="00000000" w:rsidP="00000000" w:rsidRDefault="00000000" w:rsidRPr="00000000" w14:paraId="000000B7">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0B8">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0B9">
            <w:pPr>
              <w:jc w:val="center"/>
              <w:rPr>
                <w:b w:val="0"/>
                <w:vertAlign w:val="baseline"/>
              </w:rPr>
            </w:pPr>
            <w:r w:rsidDel="00000000" w:rsidR="00000000" w:rsidRPr="00000000">
              <w:rPr>
                <w:b w:val="1"/>
                <w:vertAlign w:val="baseline"/>
                <w:rtl w:val="0"/>
              </w:rPr>
              <w:t xml:space="preserve">Giá trị 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A">
            <w:pPr>
              <w:jc w:val="center"/>
              <w:rPr>
                <w:b w:val="0"/>
                <w:vertAlign w:val="baseline"/>
              </w:rPr>
            </w:pPr>
            <w:r w:rsidDel="00000000" w:rsidR="00000000" w:rsidRPr="00000000">
              <w:rPr>
                <w:b w:val="1"/>
                <w:vertAlign w:val="baseline"/>
                <w:rtl w:val="0"/>
              </w:rPr>
              <w:t xml:space="preserve">D2 (%)</w:t>
            </w:r>
            <w:r w:rsidDel="00000000" w:rsidR="00000000" w:rsidRPr="00000000">
              <w:rPr>
                <w:rtl w:val="0"/>
              </w:rPr>
            </w:r>
          </w:p>
        </w:tc>
        <w:tc>
          <w:tcPr>
            <w:vAlign w:val="center"/>
          </w:tcPr>
          <w:p w:rsidR="00000000" w:rsidDel="00000000" w:rsidP="00000000" w:rsidRDefault="00000000" w:rsidRPr="00000000" w14:paraId="000000BB">
            <w:pPr>
              <w:jc w:val="center"/>
              <w:rPr>
                <w:vertAlign w:val="baseline"/>
              </w:rPr>
            </w:pPr>
            <w:r w:rsidDel="00000000" w:rsidR="00000000" w:rsidRPr="00000000">
              <w:rPr>
                <w:vertAlign w:val="baseline"/>
                <w:rtl w:val="0"/>
              </w:rPr>
              <w:t xml:space="preserve">115,64</w:t>
            </w:r>
          </w:p>
        </w:tc>
        <w:tc>
          <w:tcPr>
            <w:vAlign w:val="center"/>
          </w:tcPr>
          <w:p w:rsidR="00000000" w:rsidDel="00000000" w:rsidP="00000000" w:rsidRDefault="00000000" w:rsidRPr="00000000" w14:paraId="000000BC">
            <w:pPr>
              <w:jc w:val="center"/>
              <w:rPr>
                <w:vertAlign w:val="baseline"/>
              </w:rPr>
            </w:pPr>
            <w:r w:rsidDel="00000000" w:rsidR="00000000" w:rsidRPr="00000000">
              <w:rPr>
                <w:vertAlign w:val="baseline"/>
                <w:rtl w:val="0"/>
              </w:rPr>
              <w:t xml:space="preserve">120,28</w:t>
            </w:r>
          </w:p>
        </w:tc>
        <w:tc>
          <w:tcPr>
            <w:vAlign w:val="center"/>
          </w:tcPr>
          <w:p w:rsidR="00000000" w:rsidDel="00000000" w:rsidP="00000000" w:rsidRDefault="00000000" w:rsidRPr="00000000" w14:paraId="000000BD">
            <w:pPr>
              <w:jc w:val="center"/>
              <w:rPr>
                <w:vertAlign w:val="baseline"/>
              </w:rPr>
            </w:pPr>
            <w:r w:rsidDel="00000000" w:rsidR="00000000" w:rsidRPr="00000000">
              <w:rPr>
                <w:vertAlign w:val="baseline"/>
                <w:rtl w:val="0"/>
              </w:rPr>
              <w:t xml:space="preserve">120,63±1,02</w:t>
            </w:r>
          </w:p>
        </w:tc>
        <w:tc>
          <w:tcPr>
            <w:vAlign w:val="center"/>
          </w:tcPr>
          <w:p w:rsidR="00000000" w:rsidDel="00000000" w:rsidP="00000000" w:rsidRDefault="00000000" w:rsidRPr="00000000" w14:paraId="000000BE">
            <w:pPr>
              <w:jc w:val="center"/>
              <w:rPr>
                <w:vertAlign w:val="baseline"/>
              </w:rPr>
            </w:pPr>
            <w:r w:rsidDel="00000000" w:rsidR="00000000" w:rsidRPr="00000000">
              <w:rPr>
                <w:vertAlign w:val="baseline"/>
                <w:rtl w:val="0"/>
              </w:rPr>
              <w:t xml:space="preserve">126,16±0,88</w:t>
            </w:r>
          </w:p>
        </w:tc>
        <w:tc>
          <w:tcPr>
            <w:vAlign w:val="center"/>
          </w:tcPr>
          <w:p w:rsidR="00000000" w:rsidDel="00000000" w:rsidP="00000000" w:rsidRDefault="00000000" w:rsidRPr="00000000" w14:paraId="000000BF">
            <w:pPr>
              <w:jc w:val="center"/>
              <w:rPr>
                <w:vertAlign w:val="baseline"/>
              </w:rPr>
            </w:pPr>
            <w:r w:rsidDel="00000000" w:rsidR="00000000" w:rsidRPr="00000000">
              <w:rPr>
                <w:vertAlign w:val="baseline"/>
                <w:rtl w:val="0"/>
              </w:rPr>
              <w:t xml:space="preserve">0,005</w:t>
            </w:r>
          </w:p>
        </w:tc>
        <w:tc>
          <w:tcPr>
            <w:vAlign w:val="center"/>
          </w:tcPr>
          <w:p w:rsidR="00000000" w:rsidDel="00000000" w:rsidP="00000000" w:rsidRDefault="00000000" w:rsidRPr="00000000" w14:paraId="000000C0">
            <w:pPr>
              <w:jc w:val="center"/>
              <w:rPr>
                <w:vertAlign w:val="baseline"/>
              </w:rPr>
            </w:pPr>
            <w:r w:rsidDel="00000000" w:rsidR="00000000" w:rsidRPr="00000000">
              <w:rPr>
                <w:vertAlign w:val="baseline"/>
                <w:rtl w:val="0"/>
              </w:rPr>
              <w:t xml:space="preserve">123,24±1,06</w:t>
            </w:r>
          </w:p>
        </w:tc>
        <w:tc>
          <w:tcPr>
            <w:vAlign w:val="center"/>
          </w:tcPr>
          <w:p w:rsidR="00000000" w:rsidDel="00000000" w:rsidP="00000000" w:rsidRDefault="00000000" w:rsidRPr="00000000" w14:paraId="000000C1">
            <w:pPr>
              <w:jc w:val="center"/>
              <w:rPr>
                <w:vertAlign w:val="baseline"/>
              </w:rPr>
            </w:pPr>
            <w:r w:rsidDel="00000000" w:rsidR="00000000" w:rsidRPr="00000000">
              <w:rPr>
                <w:vertAlign w:val="baseline"/>
                <w:rtl w:val="0"/>
              </w:rPr>
              <w:t xml:space="preserve">126,18±0,79</w:t>
            </w:r>
          </w:p>
        </w:tc>
        <w:tc>
          <w:tcPr>
            <w:vAlign w:val="center"/>
          </w:tcPr>
          <w:p w:rsidR="00000000" w:rsidDel="00000000" w:rsidP="00000000" w:rsidRDefault="00000000" w:rsidRPr="00000000" w14:paraId="000000C2">
            <w:pPr>
              <w:jc w:val="center"/>
              <w:rPr>
                <w:vertAlign w:val="baseline"/>
              </w:rPr>
            </w:pPr>
            <w:r w:rsidDel="00000000" w:rsidR="00000000" w:rsidRPr="00000000">
              <w:rPr>
                <w:vertAlign w:val="baseline"/>
                <w:rtl w:val="0"/>
              </w:rPr>
              <w:t xml:space="preserve">0,029</w:t>
            </w:r>
          </w:p>
        </w:tc>
      </w:tr>
      <w:tr>
        <w:trPr>
          <w:cantSplit w:val="0"/>
          <w:tblHeader w:val="0"/>
        </w:trPr>
        <w:tc>
          <w:tcPr>
            <w:vAlign w:val="center"/>
          </w:tcPr>
          <w:p w:rsidR="00000000" w:rsidDel="00000000" w:rsidP="00000000" w:rsidRDefault="00000000" w:rsidRPr="00000000" w14:paraId="000000C3">
            <w:pPr>
              <w:jc w:val="center"/>
              <w:rPr>
                <w:b w:val="0"/>
                <w:vertAlign w:val="baseline"/>
              </w:rPr>
            </w:pPr>
            <w:r w:rsidDel="00000000" w:rsidR="00000000" w:rsidRPr="00000000">
              <w:rPr>
                <w:b w:val="1"/>
                <w:vertAlign w:val="baseline"/>
                <w:rtl w:val="0"/>
              </w:rPr>
              <w:t xml:space="preserve">D98 (%)</w:t>
            </w:r>
            <w:r w:rsidDel="00000000" w:rsidR="00000000" w:rsidRPr="00000000">
              <w:rPr>
                <w:rtl w:val="0"/>
              </w:rPr>
            </w:r>
          </w:p>
        </w:tc>
        <w:tc>
          <w:tcPr>
            <w:vAlign w:val="center"/>
          </w:tcPr>
          <w:p w:rsidR="00000000" w:rsidDel="00000000" w:rsidP="00000000" w:rsidRDefault="00000000" w:rsidRPr="00000000" w14:paraId="000000C4">
            <w:pPr>
              <w:jc w:val="center"/>
              <w:rPr>
                <w:vertAlign w:val="baseline"/>
              </w:rPr>
            </w:pPr>
            <w:r w:rsidDel="00000000" w:rsidR="00000000" w:rsidRPr="00000000">
              <w:rPr>
                <w:vertAlign w:val="baseline"/>
                <w:rtl w:val="0"/>
              </w:rPr>
              <w:t xml:space="preserve">105,14</w:t>
            </w:r>
          </w:p>
        </w:tc>
        <w:tc>
          <w:tcPr>
            <w:vAlign w:val="center"/>
          </w:tcPr>
          <w:p w:rsidR="00000000" w:rsidDel="00000000" w:rsidP="00000000" w:rsidRDefault="00000000" w:rsidRPr="00000000" w14:paraId="000000C5">
            <w:pPr>
              <w:jc w:val="center"/>
              <w:rPr>
                <w:vertAlign w:val="baseline"/>
              </w:rPr>
            </w:pPr>
            <w:r w:rsidDel="00000000" w:rsidR="00000000" w:rsidRPr="00000000">
              <w:rPr>
                <w:vertAlign w:val="baseline"/>
                <w:rtl w:val="0"/>
              </w:rPr>
              <w:t xml:space="preserve">102,88</w:t>
            </w:r>
          </w:p>
        </w:tc>
        <w:tc>
          <w:tcPr>
            <w:vAlign w:val="center"/>
          </w:tcPr>
          <w:p w:rsidR="00000000" w:rsidDel="00000000" w:rsidP="00000000" w:rsidRDefault="00000000" w:rsidRPr="00000000" w14:paraId="000000C6">
            <w:pPr>
              <w:jc w:val="center"/>
              <w:rPr>
                <w:vertAlign w:val="baseline"/>
              </w:rPr>
            </w:pPr>
            <w:r w:rsidDel="00000000" w:rsidR="00000000" w:rsidRPr="00000000">
              <w:rPr>
                <w:vertAlign w:val="baseline"/>
                <w:rtl w:val="0"/>
              </w:rPr>
              <w:t xml:space="preserve">106,23±0,50</w:t>
            </w:r>
          </w:p>
        </w:tc>
        <w:tc>
          <w:tcPr>
            <w:vAlign w:val="center"/>
          </w:tcPr>
          <w:p w:rsidR="00000000" w:rsidDel="00000000" w:rsidP="00000000" w:rsidRDefault="00000000" w:rsidRPr="00000000" w14:paraId="000000C7">
            <w:pPr>
              <w:jc w:val="center"/>
              <w:rPr>
                <w:vertAlign w:val="baseline"/>
              </w:rPr>
            </w:pPr>
            <w:r w:rsidDel="00000000" w:rsidR="00000000" w:rsidRPr="00000000">
              <w:rPr>
                <w:vertAlign w:val="baseline"/>
                <w:rtl w:val="0"/>
              </w:rPr>
              <w:t xml:space="preserve">105,30±0,49</w:t>
            </w:r>
          </w:p>
        </w:tc>
        <w:tc>
          <w:tcPr>
            <w:vAlign w:val="center"/>
          </w:tcPr>
          <w:p w:rsidR="00000000" w:rsidDel="00000000" w:rsidP="00000000" w:rsidRDefault="00000000" w:rsidRPr="00000000" w14:paraId="000000C8">
            <w:pPr>
              <w:jc w:val="center"/>
              <w:rPr>
                <w:vertAlign w:val="baseline"/>
              </w:rPr>
            </w:pPr>
            <w:r w:rsidDel="00000000" w:rsidR="00000000" w:rsidRPr="00000000">
              <w:rPr>
                <w:vertAlign w:val="baseline"/>
                <w:rtl w:val="0"/>
              </w:rPr>
              <w:t xml:space="preserve">0,259</w:t>
            </w:r>
          </w:p>
        </w:tc>
        <w:tc>
          <w:tcPr>
            <w:vAlign w:val="center"/>
          </w:tcPr>
          <w:p w:rsidR="00000000" w:rsidDel="00000000" w:rsidP="00000000" w:rsidRDefault="00000000" w:rsidRPr="00000000" w14:paraId="000000C9">
            <w:pPr>
              <w:jc w:val="center"/>
              <w:rPr>
                <w:vertAlign w:val="baseline"/>
              </w:rPr>
            </w:pPr>
            <w:r w:rsidDel="00000000" w:rsidR="00000000" w:rsidRPr="00000000">
              <w:rPr>
                <w:vertAlign w:val="baseline"/>
                <w:rtl w:val="0"/>
              </w:rPr>
              <w:t xml:space="preserve">106,59±0,36</w:t>
            </w:r>
          </w:p>
        </w:tc>
        <w:tc>
          <w:tcPr>
            <w:vAlign w:val="center"/>
          </w:tcPr>
          <w:p w:rsidR="00000000" w:rsidDel="00000000" w:rsidP="00000000" w:rsidRDefault="00000000" w:rsidRPr="00000000" w14:paraId="000000CA">
            <w:pPr>
              <w:jc w:val="center"/>
              <w:rPr>
                <w:vertAlign w:val="baseline"/>
              </w:rPr>
            </w:pPr>
            <w:r w:rsidDel="00000000" w:rsidR="00000000" w:rsidRPr="00000000">
              <w:rPr>
                <w:vertAlign w:val="baseline"/>
                <w:rtl w:val="0"/>
              </w:rPr>
              <w:t xml:space="preserve">105,90±0,31</w:t>
            </w:r>
          </w:p>
        </w:tc>
        <w:tc>
          <w:tcPr>
            <w:vAlign w:val="center"/>
          </w:tcPr>
          <w:p w:rsidR="00000000" w:rsidDel="00000000" w:rsidP="00000000" w:rsidRDefault="00000000" w:rsidRPr="00000000" w14:paraId="000000CB">
            <w:pPr>
              <w:jc w:val="center"/>
              <w:rPr>
                <w:vertAlign w:val="baseline"/>
              </w:rPr>
            </w:pPr>
            <w:r w:rsidDel="00000000" w:rsidR="00000000" w:rsidRPr="00000000">
              <w:rPr>
                <w:vertAlign w:val="baseline"/>
                <w:rtl w:val="0"/>
              </w:rPr>
              <w:t xml:space="preserve">0,133</w:t>
            </w:r>
          </w:p>
        </w:tc>
      </w:tr>
      <w:tr>
        <w:trPr>
          <w:cantSplit w:val="0"/>
          <w:tblHeader w:val="0"/>
        </w:trPr>
        <w:tc>
          <w:tcPr>
            <w:vAlign w:val="center"/>
          </w:tcPr>
          <w:p w:rsidR="00000000" w:rsidDel="00000000" w:rsidP="00000000" w:rsidRDefault="00000000" w:rsidRPr="00000000" w14:paraId="000000CC">
            <w:pPr>
              <w:jc w:val="center"/>
              <w:rPr>
                <w:b w:val="0"/>
                <w:vertAlign w:val="baseline"/>
              </w:rPr>
            </w:pPr>
            <w:r w:rsidDel="00000000" w:rsidR="00000000" w:rsidRPr="00000000">
              <w:rPr>
                <w:b w:val="1"/>
                <w:vertAlign w:val="baseline"/>
                <w:rtl w:val="0"/>
              </w:rPr>
              <w:t xml:space="preserve">D</w:t>
            </w:r>
            <w:r w:rsidDel="00000000" w:rsidR="00000000" w:rsidRPr="00000000">
              <w:rPr>
                <w:b w:val="1"/>
                <w:vertAlign w:val="subscript"/>
                <w:rtl w:val="0"/>
              </w:rPr>
              <w:t xml:space="preserve">mean</w:t>
            </w:r>
            <w:r w:rsidDel="00000000" w:rsidR="00000000" w:rsidRPr="00000000">
              <w:rPr>
                <w:b w:val="1"/>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CD">
            <w:pPr>
              <w:jc w:val="center"/>
              <w:rPr>
                <w:vertAlign w:val="baseline"/>
              </w:rPr>
            </w:pPr>
            <w:r w:rsidDel="00000000" w:rsidR="00000000" w:rsidRPr="00000000">
              <w:rPr>
                <w:vertAlign w:val="baseline"/>
                <w:rtl w:val="0"/>
              </w:rPr>
              <w:t xml:space="preserve">111,1</w:t>
            </w:r>
          </w:p>
        </w:tc>
        <w:tc>
          <w:tcPr>
            <w:vAlign w:val="center"/>
          </w:tcPr>
          <w:p w:rsidR="00000000" w:rsidDel="00000000" w:rsidP="00000000" w:rsidRDefault="00000000" w:rsidRPr="00000000" w14:paraId="000000CE">
            <w:pPr>
              <w:jc w:val="center"/>
              <w:rPr>
                <w:vertAlign w:val="baseline"/>
              </w:rPr>
            </w:pPr>
            <w:r w:rsidDel="00000000" w:rsidR="00000000" w:rsidRPr="00000000">
              <w:rPr>
                <w:vertAlign w:val="baseline"/>
                <w:rtl w:val="0"/>
              </w:rPr>
              <w:t xml:space="preserve">110,9</w:t>
            </w:r>
          </w:p>
        </w:tc>
        <w:tc>
          <w:tcPr>
            <w:vAlign w:val="center"/>
          </w:tcPr>
          <w:p w:rsidR="00000000" w:rsidDel="00000000" w:rsidP="00000000" w:rsidRDefault="00000000" w:rsidRPr="00000000" w14:paraId="000000CF">
            <w:pPr>
              <w:jc w:val="center"/>
              <w:rPr>
                <w:vertAlign w:val="baseline"/>
              </w:rPr>
            </w:pPr>
            <w:r w:rsidDel="00000000" w:rsidR="00000000" w:rsidRPr="00000000">
              <w:rPr>
                <w:vertAlign w:val="baseline"/>
                <w:rtl w:val="0"/>
              </w:rPr>
              <w:t xml:space="preserve">115,15±0,77</w:t>
            </w:r>
          </w:p>
        </w:tc>
        <w:tc>
          <w:tcPr>
            <w:vAlign w:val="center"/>
          </w:tcPr>
          <w:p w:rsidR="00000000" w:rsidDel="00000000" w:rsidP="00000000" w:rsidRDefault="00000000" w:rsidRPr="00000000" w14:paraId="000000D0">
            <w:pPr>
              <w:jc w:val="center"/>
              <w:rPr>
                <w:vertAlign w:val="baseline"/>
              </w:rPr>
            </w:pPr>
            <w:r w:rsidDel="00000000" w:rsidR="00000000" w:rsidRPr="00000000">
              <w:rPr>
                <w:vertAlign w:val="baseline"/>
                <w:rtl w:val="0"/>
              </w:rPr>
              <w:t xml:space="preserve">115,22±0,80</w:t>
            </w:r>
          </w:p>
        </w:tc>
        <w:tc>
          <w:tcPr>
            <w:vAlign w:val="center"/>
          </w:tcPr>
          <w:p w:rsidR="00000000" w:rsidDel="00000000" w:rsidP="00000000" w:rsidRDefault="00000000" w:rsidRPr="00000000" w14:paraId="000000D1">
            <w:pPr>
              <w:jc w:val="center"/>
              <w:rPr>
                <w:vertAlign w:val="baseline"/>
              </w:rPr>
            </w:pPr>
            <w:r w:rsidDel="00000000" w:rsidR="00000000" w:rsidRPr="00000000">
              <w:rPr>
                <w:vertAlign w:val="baseline"/>
                <w:rtl w:val="0"/>
              </w:rPr>
              <w:t xml:space="preserve">0,957</w:t>
            </w:r>
          </w:p>
        </w:tc>
        <w:tc>
          <w:tcPr>
            <w:vAlign w:val="center"/>
          </w:tcPr>
          <w:p w:rsidR="00000000" w:rsidDel="00000000" w:rsidP="00000000" w:rsidRDefault="00000000" w:rsidRPr="00000000" w14:paraId="000000D2">
            <w:pPr>
              <w:jc w:val="center"/>
              <w:rPr>
                <w:vertAlign w:val="baseline"/>
              </w:rPr>
            </w:pPr>
            <w:r w:rsidDel="00000000" w:rsidR="00000000" w:rsidRPr="00000000">
              <w:rPr>
                <w:vertAlign w:val="baseline"/>
                <w:rtl w:val="0"/>
              </w:rPr>
              <w:t xml:space="preserve">116,74±0,77</w:t>
            </w:r>
          </w:p>
        </w:tc>
        <w:tc>
          <w:tcPr>
            <w:vAlign w:val="center"/>
          </w:tcPr>
          <w:p w:rsidR="00000000" w:rsidDel="00000000" w:rsidP="00000000" w:rsidRDefault="00000000" w:rsidRPr="00000000" w14:paraId="000000D3">
            <w:pPr>
              <w:jc w:val="center"/>
              <w:rPr>
                <w:vertAlign w:val="baseline"/>
              </w:rPr>
            </w:pPr>
            <w:r w:rsidDel="00000000" w:rsidR="00000000" w:rsidRPr="00000000">
              <w:rPr>
                <w:vertAlign w:val="baseline"/>
                <w:rtl w:val="0"/>
              </w:rPr>
              <w:t xml:space="preserve">116,01±0,81</w:t>
            </w:r>
          </w:p>
        </w:tc>
        <w:tc>
          <w:tcPr>
            <w:vAlign w:val="center"/>
          </w:tcPr>
          <w:p w:rsidR="00000000" w:rsidDel="00000000" w:rsidP="00000000" w:rsidRDefault="00000000" w:rsidRPr="00000000" w14:paraId="000000D4">
            <w:pPr>
              <w:jc w:val="center"/>
              <w:rPr>
                <w:vertAlign w:val="baseline"/>
              </w:rPr>
            </w:pPr>
            <w:r w:rsidDel="00000000" w:rsidR="00000000" w:rsidRPr="00000000">
              <w:rPr>
                <w:vertAlign w:val="baseline"/>
                <w:rtl w:val="0"/>
              </w:rPr>
              <w:t xml:space="preserve">0,469</w:t>
            </w:r>
          </w:p>
        </w:tc>
      </w:tr>
      <w:tr>
        <w:trPr>
          <w:cantSplit w:val="0"/>
          <w:tblHeader w:val="0"/>
        </w:trPr>
        <w:tc>
          <w:tcPr>
            <w:vAlign w:val="center"/>
          </w:tcPr>
          <w:p w:rsidR="00000000" w:rsidDel="00000000" w:rsidP="00000000" w:rsidRDefault="00000000" w:rsidRPr="00000000" w14:paraId="000000D5">
            <w:pPr>
              <w:jc w:val="center"/>
              <w:rPr>
                <w:b w:val="0"/>
                <w:vertAlign w:val="baseline"/>
              </w:rPr>
            </w:pPr>
            <w:r w:rsidDel="00000000" w:rsidR="00000000" w:rsidRPr="00000000">
              <w:rPr>
                <w:b w:val="1"/>
                <w:vertAlign w:val="baseline"/>
                <w:rtl w:val="0"/>
              </w:rPr>
              <w:t xml:space="preserve">CI</w:t>
            </w:r>
            <w:r w:rsidDel="00000000" w:rsidR="00000000" w:rsidRPr="00000000">
              <w:rPr>
                <w:rtl w:val="0"/>
              </w:rPr>
            </w:r>
          </w:p>
        </w:tc>
        <w:tc>
          <w:tcPr>
            <w:vAlign w:val="center"/>
          </w:tcPr>
          <w:p w:rsidR="00000000" w:rsidDel="00000000" w:rsidP="00000000" w:rsidRDefault="00000000" w:rsidRPr="00000000" w14:paraId="000000D6">
            <w:pPr>
              <w:jc w:val="center"/>
              <w:rPr>
                <w:vertAlign w:val="baseline"/>
              </w:rPr>
            </w:pPr>
            <w:r w:rsidDel="00000000" w:rsidR="00000000" w:rsidRPr="00000000">
              <w:rPr>
                <w:vertAlign w:val="baseline"/>
                <w:rtl w:val="0"/>
              </w:rPr>
              <w:t xml:space="preserve">1,40</w:t>
            </w:r>
          </w:p>
        </w:tc>
        <w:tc>
          <w:tcPr>
            <w:vAlign w:val="center"/>
          </w:tcPr>
          <w:p w:rsidR="00000000" w:rsidDel="00000000" w:rsidP="00000000" w:rsidRDefault="00000000" w:rsidRPr="00000000" w14:paraId="000000D7">
            <w:pPr>
              <w:jc w:val="center"/>
              <w:rPr>
                <w:vertAlign w:val="baseline"/>
              </w:rPr>
            </w:pPr>
            <w:r w:rsidDel="00000000" w:rsidR="00000000" w:rsidRPr="00000000">
              <w:rPr>
                <w:vertAlign w:val="baseline"/>
                <w:rtl w:val="0"/>
              </w:rPr>
              <w:t xml:space="preserve">1,42</w:t>
            </w:r>
          </w:p>
        </w:tc>
        <w:tc>
          <w:tcPr>
            <w:vAlign w:val="center"/>
          </w:tcPr>
          <w:p w:rsidR="00000000" w:rsidDel="00000000" w:rsidP="00000000" w:rsidRDefault="00000000" w:rsidRPr="00000000" w14:paraId="000000D8">
            <w:pPr>
              <w:jc w:val="center"/>
              <w:rPr>
                <w:vertAlign w:val="baseline"/>
              </w:rPr>
            </w:pPr>
            <w:r w:rsidDel="00000000" w:rsidR="00000000" w:rsidRPr="00000000">
              <w:rPr>
                <w:vertAlign w:val="baseline"/>
                <w:rtl w:val="0"/>
              </w:rPr>
              <w:t xml:space="preserve">1,41 ± 0,02</w:t>
            </w:r>
          </w:p>
        </w:tc>
        <w:tc>
          <w:tcPr>
            <w:vAlign w:val="center"/>
          </w:tcPr>
          <w:p w:rsidR="00000000" w:rsidDel="00000000" w:rsidP="00000000" w:rsidRDefault="00000000" w:rsidRPr="00000000" w14:paraId="000000D9">
            <w:pPr>
              <w:jc w:val="center"/>
              <w:rPr>
                <w:vertAlign w:val="baseline"/>
              </w:rPr>
            </w:pPr>
            <w:r w:rsidDel="00000000" w:rsidR="00000000" w:rsidRPr="00000000">
              <w:rPr>
                <w:vertAlign w:val="baseline"/>
                <w:rtl w:val="0"/>
              </w:rPr>
              <w:t xml:space="preserve">1,25 ± 0,02</w:t>
            </w:r>
          </w:p>
        </w:tc>
        <w:tc>
          <w:tcPr>
            <w:vAlign w:val="center"/>
          </w:tcPr>
          <w:p w:rsidR="00000000" w:rsidDel="00000000" w:rsidP="00000000" w:rsidRDefault="00000000" w:rsidRPr="00000000" w14:paraId="000000DA">
            <w:pPr>
              <w:jc w:val="center"/>
              <w:rPr>
                <w:vertAlign w:val="baseline"/>
              </w:rPr>
            </w:pPr>
            <w:r w:rsidDel="00000000" w:rsidR="00000000" w:rsidRPr="00000000">
              <w:rPr>
                <w:vertAlign w:val="baseline"/>
                <w:rtl w:val="0"/>
              </w:rPr>
              <w:t xml:space="preserve">&lt;0,001</w:t>
            </w:r>
          </w:p>
        </w:tc>
        <w:tc>
          <w:tcPr>
            <w:vAlign w:val="center"/>
          </w:tcPr>
          <w:p w:rsidR="00000000" w:rsidDel="00000000" w:rsidP="00000000" w:rsidRDefault="00000000" w:rsidRPr="00000000" w14:paraId="000000DB">
            <w:pPr>
              <w:jc w:val="center"/>
              <w:rPr>
                <w:vertAlign w:val="baseline"/>
              </w:rPr>
            </w:pPr>
            <w:r w:rsidDel="00000000" w:rsidR="00000000" w:rsidRPr="00000000">
              <w:rPr>
                <w:vertAlign w:val="baseline"/>
                <w:rtl w:val="0"/>
              </w:rPr>
              <w:t xml:space="preserve">1,44 ± 0,02</w:t>
            </w:r>
          </w:p>
        </w:tc>
        <w:tc>
          <w:tcPr>
            <w:vAlign w:val="center"/>
          </w:tcPr>
          <w:p w:rsidR="00000000" w:rsidDel="00000000" w:rsidP="00000000" w:rsidRDefault="00000000" w:rsidRPr="00000000" w14:paraId="000000DC">
            <w:pPr>
              <w:jc w:val="center"/>
              <w:rPr>
                <w:vertAlign w:val="baseline"/>
              </w:rPr>
            </w:pPr>
            <w:r w:rsidDel="00000000" w:rsidR="00000000" w:rsidRPr="00000000">
              <w:rPr>
                <w:vertAlign w:val="baseline"/>
                <w:rtl w:val="0"/>
              </w:rPr>
              <w:t xml:space="preserve">1,23 ± 0,01</w:t>
            </w:r>
          </w:p>
        </w:tc>
        <w:tc>
          <w:tcPr>
            <w:vAlign w:val="center"/>
          </w:tcPr>
          <w:p w:rsidR="00000000" w:rsidDel="00000000" w:rsidP="00000000" w:rsidRDefault="00000000" w:rsidRPr="00000000" w14:paraId="000000DD">
            <w:pPr>
              <w:jc w:val="center"/>
              <w:rPr>
                <w:vertAlign w:val="baseline"/>
              </w:rPr>
            </w:pPr>
            <w:r w:rsidDel="00000000" w:rsidR="00000000" w:rsidRPr="00000000">
              <w:rPr>
                <w:vertAlign w:val="baseline"/>
                <w:rtl w:val="0"/>
              </w:rPr>
              <w:t xml:space="preserve">&lt;0,001</w:t>
            </w:r>
          </w:p>
        </w:tc>
      </w:tr>
      <w:tr>
        <w:trPr>
          <w:cantSplit w:val="0"/>
          <w:tblHeader w:val="0"/>
        </w:trPr>
        <w:tc>
          <w:tcPr>
            <w:vAlign w:val="center"/>
          </w:tcPr>
          <w:p w:rsidR="00000000" w:rsidDel="00000000" w:rsidP="00000000" w:rsidRDefault="00000000" w:rsidRPr="00000000" w14:paraId="000000DE">
            <w:pPr>
              <w:jc w:val="center"/>
              <w:rPr>
                <w:b w:val="0"/>
                <w:vertAlign w:val="baseline"/>
              </w:rPr>
            </w:pPr>
            <w:r w:rsidDel="00000000" w:rsidR="00000000" w:rsidRPr="00000000">
              <w:rPr>
                <w:b w:val="1"/>
                <w:vertAlign w:val="baseline"/>
                <w:rtl w:val="0"/>
              </w:rPr>
              <w:t xml:space="preserve">CI50</w:t>
            </w:r>
            <w:r w:rsidDel="00000000" w:rsidR="00000000" w:rsidRPr="00000000">
              <w:rPr>
                <w:rtl w:val="0"/>
              </w:rPr>
            </w:r>
          </w:p>
        </w:tc>
        <w:tc>
          <w:tcPr>
            <w:vAlign w:val="center"/>
          </w:tcPr>
          <w:p w:rsidR="00000000" w:rsidDel="00000000" w:rsidP="00000000" w:rsidRDefault="00000000" w:rsidRPr="00000000" w14:paraId="000000DF">
            <w:pPr>
              <w:jc w:val="center"/>
              <w:rPr>
                <w:vertAlign w:val="baseline"/>
              </w:rPr>
            </w:pPr>
            <w:r w:rsidDel="00000000" w:rsidR="00000000" w:rsidRPr="00000000">
              <w:rPr>
                <w:vertAlign w:val="baseline"/>
                <w:rtl w:val="0"/>
              </w:rPr>
              <w:t xml:space="preserve">5,22</w:t>
            </w:r>
          </w:p>
        </w:tc>
        <w:tc>
          <w:tcPr>
            <w:vAlign w:val="center"/>
          </w:tcPr>
          <w:p w:rsidR="00000000" w:rsidDel="00000000" w:rsidP="00000000" w:rsidRDefault="00000000" w:rsidRPr="00000000" w14:paraId="000000E0">
            <w:pPr>
              <w:jc w:val="center"/>
              <w:rPr>
                <w:vertAlign w:val="baseline"/>
              </w:rPr>
            </w:pPr>
            <w:r w:rsidDel="00000000" w:rsidR="00000000" w:rsidRPr="00000000">
              <w:rPr>
                <w:vertAlign w:val="baseline"/>
                <w:rtl w:val="0"/>
              </w:rPr>
              <w:t xml:space="preserve">6,51</w:t>
            </w:r>
          </w:p>
        </w:tc>
        <w:tc>
          <w:tcPr>
            <w:vAlign w:val="center"/>
          </w:tcPr>
          <w:p w:rsidR="00000000" w:rsidDel="00000000" w:rsidP="00000000" w:rsidRDefault="00000000" w:rsidRPr="00000000" w14:paraId="000000E1">
            <w:pPr>
              <w:jc w:val="center"/>
              <w:rPr>
                <w:vertAlign w:val="baseline"/>
              </w:rPr>
            </w:pPr>
            <w:r w:rsidDel="00000000" w:rsidR="00000000" w:rsidRPr="00000000">
              <w:rPr>
                <w:vertAlign w:val="baseline"/>
                <w:rtl w:val="0"/>
              </w:rPr>
              <w:t xml:space="preserve">3,78 ± 0,10</w:t>
            </w:r>
          </w:p>
        </w:tc>
        <w:tc>
          <w:tcPr>
            <w:vAlign w:val="center"/>
          </w:tcPr>
          <w:p w:rsidR="00000000" w:rsidDel="00000000" w:rsidP="00000000" w:rsidRDefault="00000000" w:rsidRPr="00000000" w14:paraId="000000E2">
            <w:pPr>
              <w:jc w:val="center"/>
              <w:rPr>
                <w:vertAlign w:val="baseline"/>
              </w:rPr>
            </w:pPr>
            <w:r w:rsidDel="00000000" w:rsidR="00000000" w:rsidRPr="00000000">
              <w:rPr>
                <w:vertAlign w:val="baseline"/>
                <w:rtl w:val="0"/>
              </w:rPr>
              <w:t xml:space="preserve">3,54 ± 0,16</w:t>
            </w:r>
          </w:p>
        </w:tc>
        <w:tc>
          <w:tcPr>
            <w:vAlign w:val="center"/>
          </w:tcPr>
          <w:p w:rsidR="00000000" w:rsidDel="00000000" w:rsidP="00000000" w:rsidRDefault="00000000" w:rsidRPr="00000000" w14:paraId="000000E3">
            <w:pPr>
              <w:jc w:val="center"/>
              <w:rPr>
                <w:vertAlign w:val="baseline"/>
              </w:rPr>
            </w:pPr>
            <w:r w:rsidDel="00000000" w:rsidR="00000000" w:rsidRPr="00000000">
              <w:rPr>
                <w:vertAlign w:val="baseline"/>
                <w:rtl w:val="0"/>
              </w:rPr>
              <w:t xml:space="preserve">0,026</w:t>
            </w:r>
          </w:p>
        </w:tc>
        <w:tc>
          <w:tcPr>
            <w:vAlign w:val="center"/>
          </w:tcPr>
          <w:p w:rsidR="00000000" w:rsidDel="00000000" w:rsidP="00000000" w:rsidRDefault="00000000" w:rsidRPr="00000000" w14:paraId="000000E4">
            <w:pPr>
              <w:jc w:val="center"/>
              <w:rPr>
                <w:vertAlign w:val="baseline"/>
              </w:rPr>
            </w:pPr>
            <w:r w:rsidDel="00000000" w:rsidR="00000000" w:rsidRPr="00000000">
              <w:rPr>
                <w:vertAlign w:val="baseline"/>
                <w:rtl w:val="0"/>
              </w:rPr>
              <w:t xml:space="preserve">3,57 ± 0,08</w:t>
            </w:r>
          </w:p>
        </w:tc>
        <w:tc>
          <w:tcPr>
            <w:vAlign w:val="center"/>
          </w:tcPr>
          <w:p w:rsidR="00000000" w:rsidDel="00000000" w:rsidP="00000000" w:rsidRDefault="00000000" w:rsidRPr="00000000" w14:paraId="000000E5">
            <w:pPr>
              <w:jc w:val="center"/>
              <w:rPr>
                <w:vertAlign w:val="baseline"/>
              </w:rPr>
            </w:pPr>
            <w:r w:rsidDel="00000000" w:rsidR="00000000" w:rsidRPr="00000000">
              <w:rPr>
                <w:vertAlign w:val="baseline"/>
                <w:rtl w:val="0"/>
              </w:rPr>
              <w:t xml:space="preserve">3,23 ± 0,06</w:t>
            </w:r>
          </w:p>
        </w:tc>
        <w:tc>
          <w:tcPr>
            <w:vAlign w:val="center"/>
          </w:tcPr>
          <w:p w:rsidR="00000000" w:rsidDel="00000000" w:rsidP="00000000" w:rsidRDefault="00000000" w:rsidRPr="00000000" w14:paraId="000000E6">
            <w:pPr>
              <w:jc w:val="center"/>
              <w:rPr>
                <w:vertAlign w:val="baseline"/>
              </w:rPr>
            </w:pPr>
            <w:r w:rsidDel="00000000" w:rsidR="00000000" w:rsidRPr="00000000">
              <w:rPr>
                <w:vertAlign w:val="baseline"/>
                <w:rtl w:val="0"/>
              </w:rPr>
              <w:t xml:space="preserve">&lt;0,001</w:t>
            </w:r>
          </w:p>
        </w:tc>
      </w:tr>
      <w:tr>
        <w:trPr>
          <w:cantSplit w:val="0"/>
          <w:tblHeader w:val="0"/>
        </w:trPr>
        <w:tc>
          <w:tcPr>
            <w:vAlign w:val="center"/>
          </w:tcPr>
          <w:p w:rsidR="00000000" w:rsidDel="00000000" w:rsidP="00000000" w:rsidRDefault="00000000" w:rsidRPr="00000000" w14:paraId="000000E7">
            <w:pPr>
              <w:jc w:val="center"/>
              <w:rPr>
                <w:b w:val="0"/>
                <w:vertAlign w:val="baseline"/>
              </w:rPr>
            </w:pPr>
            <w:r w:rsidDel="00000000" w:rsidR="00000000" w:rsidRPr="00000000">
              <w:rPr>
                <w:b w:val="1"/>
                <w:vertAlign w:val="baseline"/>
                <w:rtl w:val="0"/>
              </w:rPr>
              <w:t xml:space="preserve">HI</w:t>
            </w:r>
            <w:r w:rsidDel="00000000" w:rsidR="00000000" w:rsidRPr="00000000">
              <w:rPr>
                <w:rtl w:val="0"/>
              </w:rPr>
            </w:r>
          </w:p>
        </w:tc>
        <w:tc>
          <w:tcPr>
            <w:vAlign w:val="center"/>
          </w:tcPr>
          <w:p w:rsidR="00000000" w:rsidDel="00000000" w:rsidP="00000000" w:rsidRDefault="00000000" w:rsidRPr="00000000" w14:paraId="000000E8">
            <w:pPr>
              <w:jc w:val="center"/>
              <w:rPr>
                <w:vertAlign w:val="baseline"/>
              </w:rPr>
            </w:pPr>
            <w:r w:rsidDel="00000000" w:rsidR="00000000" w:rsidRPr="00000000">
              <w:rPr>
                <w:vertAlign w:val="baseline"/>
                <w:rtl w:val="0"/>
              </w:rPr>
              <w:t xml:space="preserve">1,16</w:t>
            </w:r>
          </w:p>
        </w:tc>
        <w:tc>
          <w:tcPr>
            <w:vAlign w:val="center"/>
          </w:tcPr>
          <w:p w:rsidR="00000000" w:rsidDel="00000000" w:rsidP="00000000" w:rsidRDefault="00000000" w:rsidRPr="00000000" w14:paraId="000000E9">
            <w:pPr>
              <w:jc w:val="center"/>
              <w:rPr>
                <w:vertAlign w:val="baseline"/>
              </w:rPr>
            </w:pPr>
            <w:r w:rsidDel="00000000" w:rsidR="00000000" w:rsidRPr="00000000">
              <w:rPr>
                <w:vertAlign w:val="baseline"/>
                <w:rtl w:val="0"/>
              </w:rPr>
              <w:t xml:space="preserve">1,23</w:t>
            </w:r>
          </w:p>
        </w:tc>
        <w:tc>
          <w:tcPr>
            <w:vAlign w:val="center"/>
          </w:tcPr>
          <w:p w:rsidR="00000000" w:rsidDel="00000000" w:rsidP="00000000" w:rsidRDefault="00000000" w:rsidRPr="00000000" w14:paraId="000000EA">
            <w:pPr>
              <w:jc w:val="center"/>
              <w:rPr>
                <w:vertAlign w:val="baseline"/>
              </w:rPr>
            </w:pPr>
            <w:r w:rsidDel="00000000" w:rsidR="00000000" w:rsidRPr="00000000">
              <w:rPr>
                <w:vertAlign w:val="baseline"/>
                <w:rtl w:val="0"/>
              </w:rPr>
              <w:t xml:space="preserve">1,21 ± 0,01</w:t>
            </w:r>
          </w:p>
        </w:tc>
        <w:tc>
          <w:tcPr>
            <w:vAlign w:val="center"/>
          </w:tcPr>
          <w:p w:rsidR="00000000" w:rsidDel="00000000" w:rsidP="00000000" w:rsidRDefault="00000000" w:rsidRPr="00000000" w14:paraId="000000EB">
            <w:pPr>
              <w:jc w:val="center"/>
              <w:rPr>
                <w:vertAlign w:val="baseline"/>
              </w:rPr>
            </w:pPr>
            <w:r w:rsidDel="00000000" w:rsidR="00000000" w:rsidRPr="00000000">
              <w:rPr>
                <w:vertAlign w:val="baseline"/>
                <w:rtl w:val="0"/>
              </w:rPr>
              <w:t xml:space="preserve">1,29 ± 0,01</w:t>
            </w:r>
          </w:p>
        </w:tc>
        <w:tc>
          <w:tcPr>
            <w:vAlign w:val="center"/>
          </w:tcPr>
          <w:p w:rsidR="00000000" w:rsidDel="00000000" w:rsidP="00000000" w:rsidRDefault="00000000" w:rsidRPr="00000000" w14:paraId="000000EC">
            <w:pPr>
              <w:jc w:val="center"/>
              <w:rPr>
                <w:vertAlign w:val="baseline"/>
              </w:rPr>
            </w:pPr>
            <w:r w:rsidDel="00000000" w:rsidR="00000000" w:rsidRPr="00000000">
              <w:rPr>
                <w:vertAlign w:val="baseline"/>
                <w:rtl w:val="0"/>
              </w:rPr>
              <w:t xml:space="preserve">0,001</w:t>
            </w:r>
          </w:p>
        </w:tc>
        <w:tc>
          <w:tcPr>
            <w:vAlign w:val="center"/>
          </w:tcPr>
          <w:p w:rsidR="00000000" w:rsidDel="00000000" w:rsidP="00000000" w:rsidRDefault="00000000" w:rsidRPr="00000000" w14:paraId="000000ED">
            <w:pPr>
              <w:jc w:val="center"/>
              <w:rPr>
                <w:vertAlign w:val="baseline"/>
              </w:rPr>
            </w:pPr>
            <w:r w:rsidDel="00000000" w:rsidR="00000000" w:rsidRPr="00000000">
              <w:rPr>
                <w:vertAlign w:val="baseline"/>
                <w:rtl w:val="0"/>
              </w:rPr>
              <w:t xml:space="preserve">1,24 ± 0,01</w:t>
            </w:r>
          </w:p>
        </w:tc>
        <w:tc>
          <w:tcPr>
            <w:vAlign w:val="center"/>
          </w:tcPr>
          <w:p w:rsidR="00000000" w:rsidDel="00000000" w:rsidP="00000000" w:rsidRDefault="00000000" w:rsidRPr="00000000" w14:paraId="000000EE">
            <w:pPr>
              <w:jc w:val="center"/>
              <w:rPr>
                <w:vertAlign w:val="baseline"/>
              </w:rPr>
            </w:pPr>
            <w:r w:rsidDel="00000000" w:rsidR="00000000" w:rsidRPr="00000000">
              <w:rPr>
                <w:vertAlign w:val="baseline"/>
                <w:rtl w:val="0"/>
              </w:rPr>
              <w:t xml:space="preserve">1,28 ± 0,01</w:t>
            </w:r>
          </w:p>
        </w:tc>
        <w:tc>
          <w:tcPr>
            <w:vAlign w:val="center"/>
          </w:tcPr>
          <w:p w:rsidR="00000000" w:rsidDel="00000000" w:rsidP="00000000" w:rsidRDefault="00000000" w:rsidRPr="00000000" w14:paraId="000000EF">
            <w:pPr>
              <w:jc w:val="center"/>
              <w:rPr>
                <w:vertAlign w:val="baseline"/>
              </w:rPr>
            </w:pPr>
            <w:r w:rsidDel="00000000" w:rsidR="00000000" w:rsidRPr="00000000">
              <w:rPr>
                <w:vertAlign w:val="baseline"/>
                <w:rtl w:val="0"/>
              </w:rPr>
              <w:t xml:space="preserve">0,003</w:t>
            </w:r>
          </w:p>
        </w:tc>
      </w:tr>
      <w:tr>
        <w:trPr>
          <w:cantSplit w:val="0"/>
          <w:tblHeader w:val="0"/>
        </w:trPr>
        <w:tc>
          <w:tcPr>
            <w:vAlign w:val="center"/>
          </w:tcPr>
          <w:p w:rsidR="00000000" w:rsidDel="00000000" w:rsidP="00000000" w:rsidRDefault="00000000" w:rsidRPr="00000000" w14:paraId="000000F0">
            <w:pPr>
              <w:jc w:val="center"/>
              <w:rPr>
                <w:b w:val="0"/>
                <w:vertAlign w:val="baseline"/>
              </w:rPr>
            </w:pPr>
            <w:r w:rsidDel="00000000" w:rsidR="00000000" w:rsidRPr="00000000">
              <w:rPr>
                <w:b w:val="1"/>
                <w:vertAlign w:val="baseline"/>
                <w:rtl w:val="0"/>
              </w:rPr>
              <w:t xml:space="preserve">GI</w:t>
            </w:r>
            <w:r w:rsidDel="00000000" w:rsidR="00000000" w:rsidRPr="00000000">
              <w:rPr>
                <w:rtl w:val="0"/>
              </w:rPr>
            </w:r>
          </w:p>
        </w:tc>
        <w:tc>
          <w:tcPr>
            <w:vAlign w:val="center"/>
          </w:tcPr>
          <w:p w:rsidR="00000000" w:rsidDel="00000000" w:rsidP="00000000" w:rsidRDefault="00000000" w:rsidRPr="00000000" w14:paraId="000000F1">
            <w:pPr>
              <w:jc w:val="center"/>
              <w:rPr>
                <w:vertAlign w:val="baseline"/>
              </w:rPr>
            </w:pPr>
            <w:r w:rsidDel="00000000" w:rsidR="00000000" w:rsidRPr="00000000">
              <w:rPr>
                <w:vertAlign w:val="baseline"/>
                <w:rtl w:val="0"/>
              </w:rPr>
              <w:t xml:space="preserve">3,72</w:t>
            </w:r>
          </w:p>
        </w:tc>
        <w:tc>
          <w:tcPr>
            <w:vAlign w:val="center"/>
          </w:tcPr>
          <w:p w:rsidR="00000000" w:rsidDel="00000000" w:rsidP="00000000" w:rsidRDefault="00000000" w:rsidRPr="00000000" w14:paraId="000000F2">
            <w:pPr>
              <w:jc w:val="center"/>
              <w:rPr>
                <w:vertAlign w:val="baseline"/>
              </w:rPr>
            </w:pPr>
            <w:r w:rsidDel="00000000" w:rsidR="00000000" w:rsidRPr="00000000">
              <w:rPr>
                <w:vertAlign w:val="baseline"/>
                <w:rtl w:val="0"/>
              </w:rPr>
              <w:t xml:space="preserve">4,60</w:t>
            </w:r>
          </w:p>
        </w:tc>
        <w:tc>
          <w:tcPr>
            <w:vAlign w:val="center"/>
          </w:tcPr>
          <w:p w:rsidR="00000000" w:rsidDel="00000000" w:rsidP="00000000" w:rsidRDefault="00000000" w:rsidRPr="00000000" w14:paraId="000000F3">
            <w:pPr>
              <w:jc w:val="center"/>
              <w:rPr>
                <w:vertAlign w:val="baseline"/>
              </w:rPr>
            </w:pPr>
            <w:r w:rsidDel="00000000" w:rsidR="00000000" w:rsidRPr="00000000">
              <w:rPr>
                <w:vertAlign w:val="baseline"/>
                <w:rtl w:val="0"/>
              </w:rPr>
              <w:t xml:space="preserve">2,68 ± 0,05</w:t>
            </w:r>
          </w:p>
        </w:tc>
        <w:tc>
          <w:tcPr>
            <w:vAlign w:val="center"/>
          </w:tcPr>
          <w:p w:rsidR="00000000" w:rsidDel="00000000" w:rsidP="00000000" w:rsidRDefault="00000000" w:rsidRPr="00000000" w14:paraId="000000F4">
            <w:pPr>
              <w:jc w:val="center"/>
              <w:rPr>
                <w:vertAlign w:val="baseline"/>
              </w:rPr>
            </w:pPr>
            <w:r w:rsidDel="00000000" w:rsidR="00000000" w:rsidRPr="00000000">
              <w:rPr>
                <w:vertAlign w:val="baseline"/>
                <w:rtl w:val="0"/>
              </w:rPr>
              <w:t xml:space="preserve">2,84 ± 0,11</w:t>
            </w:r>
          </w:p>
        </w:tc>
        <w:tc>
          <w:tcPr>
            <w:vAlign w:val="center"/>
          </w:tcPr>
          <w:p w:rsidR="00000000" w:rsidDel="00000000" w:rsidP="00000000" w:rsidRDefault="00000000" w:rsidRPr="00000000" w14:paraId="000000F5">
            <w:pPr>
              <w:jc w:val="center"/>
              <w:rPr>
                <w:vertAlign w:val="baseline"/>
              </w:rPr>
            </w:pPr>
            <w:r w:rsidDel="00000000" w:rsidR="00000000" w:rsidRPr="00000000">
              <w:rPr>
                <w:vertAlign w:val="baseline"/>
                <w:rtl w:val="0"/>
              </w:rPr>
              <w:t xml:space="preserve">0,1</w:t>
            </w:r>
          </w:p>
        </w:tc>
        <w:tc>
          <w:tcPr>
            <w:vAlign w:val="center"/>
          </w:tcPr>
          <w:p w:rsidR="00000000" w:rsidDel="00000000" w:rsidP="00000000" w:rsidRDefault="00000000" w:rsidRPr="00000000" w14:paraId="000000F6">
            <w:pPr>
              <w:jc w:val="center"/>
              <w:rPr>
                <w:vertAlign w:val="baseline"/>
              </w:rPr>
            </w:pPr>
            <w:r w:rsidDel="00000000" w:rsidR="00000000" w:rsidRPr="00000000">
              <w:rPr>
                <w:vertAlign w:val="baseline"/>
                <w:rtl w:val="0"/>
              </w:rPr>
              <w:t xml:space="preserve">2,49 ± 0,04</w:t>
            </w:r>
          </w:p>
        </w:tc>
        <w:tc>
          <w:tcPr>
            <w:vAlign w:val="center"/>
          </w:tcPr>
          <w:p w:rsidR="00000000" w:rsidDel="00000000" w:rsidP="00000000" w:rsidRDefault="00000000" w:rsidRPr="00000000" w14:paraId="000000F7">
            <w:pPr>
              <w:jc w:val="center"/>
              <w:rPr>
                <w:vertAlign w:val="baseline"/>
              </w:rPr>
            </w:pPr>
            <w:r w:rsidDel="00000000" w:rsidR="00000000" w:rsidRPr="00000000">
              <w:rPr>
                <w:vertAlign w:val="baseline"/>
                <w:rtl w:val="0"/>
              </w:rPr>
              <w:t xml:space="preserve">2,62 ± 0,04</w:t>
            </w:r>
          </w:p>
        </w:tc>
        <w:tc>
          <w:tcPr>
            <w:vAlign w:val="center"/>
          </w:tcPr>
          <w:p w:rsidR="00000000" w:rsidDel="00000000" w:rsidP="00000000" w:rsidRDefault="00000000" w:rsidRPr="00000000" w14:paraId="000000F8">
            <w:pPr>
              <w:jc w:val="center"/>
              <w:rPr>
                <w:vertAlign w:val="baseline"/>
              </w:rPr>
            </w:pPr>
            <w:r w:rsidDel="00000000" w:rsidR="00000000" w:rsidRPr="00000000">
              <w:rPr>
                <w:vertAlign w:val="baseline"/>
                <w:rtl w:val="0"/>
              </w:rPr>
              <w:t xml:space="preserve">0,001</w:t>
            </w:r>
          </w:p>
        </w:tc>
      </w:tr>
    </w:tbl>
    <w:p w:rsidR="00000000" w:rsidDel="00000000" w:rsidP="00000000" w:rsidRDefault="00000000" w:rsidRPr="00000000" w14:paraId="000000F9">
      <w:pPr>
        <w:ind w:firstLine="284"/>
        <w:rPr>
          <w:vertAlign w:val="baseline"/>
        </w:rPr>
      </w:pPr>
      <w:r w:rsidDel="00000000" w:rsidR="00000000" w:rsidRPr="00000000">
        <w:rPr>
          <w:vertAlign w:val="baseline"/>
          <w:rtl w:val="0"/>
        </w:rPr>
        <w:t xml:space="preserve">Từ bảng 5, ta thấy đối với nhóm 1 (PTV &lt; 2 cm</w:t>
      </w:r>
      <w:r w:rsidDel="00000000" w:rsidR="00000000" w:rsidRPr="00000000">
        <w:rPr>
          <w:vertAlign w:val="superscript"/>
          <w:rtl w:val="0"/>
        </w:rPr>
        <w:t xml:space="preserve">3</w:t>
      </w:r>
      <w:r w:rsidDel="00000000" w:rsidR="00000000" w:rsidRPr="00000000">
        <w:rPr>
          <w:vertAlign w:val="baseline"/>
          <w:rtl w:val="0"/>
        </w:rPr>
        <w:t xml:space="preserve">) các tiêu chí liều vào PTV của kế hoạch DCAT đều gần giá trị lý tưởng hơn so với kế hoạch VMAT. Ở nhóm 2 (2 cm</w:t>
      </w:r>
      <w:r w:rsidDel="00000000" w:rsidR="00000000" w:rsidRPr="00000000">
        <w:rPr>
          <w:vertAlign w:val="superscript"/>
          <w:rtl w:val="0"/>
        </w:rPr>
        <w:t xml:space="preserve">3</w:t>
      </w:r>
      <w:r w:rsidDel="00000000" w:rsidR="00000000" w:rsidRPr="00000000">
        <w:rPr>
          <w:rFonts w:ascii="Gungsuh" w:cs="Gungsuh" w:eastAsia="Gungsuh" w:hAnsi="Gungsuh"/>
          <w:vertAlign w:val="baseline"/>
          <w:rtl w:val="0"/>
        </w:rPr>
        <w:t xml:space="preserve"> ≤ PTV ≤ 10 cm</w:t>
      </w:r>
      <w:r w:rsidDel="00000000" w:rsidR="00000000" w:rsidRPr="00000000">
        <w:rPr>
          <w:vertAlign w:val="superscript"/>
          <w:rtl w:val="0"/>
        </w:rPr>
        <w:t xml:space="preserve">3</w:t>
      </w:r>
      <w:r w:rsidDel="00000000" w:rsidR="00000000" w:rsidRPr="00000000">
        <w:rPr>
          <w:vertAlign w:val="baseline"/>
          <w:rtl w:val="0"/>
        </w:rPr>
        <w:t xml:space="preserve">) và nhóm 3 (PTV &gt; 10 cm</w:t>
      </w:r>
      <w:r w:rsidDel="00000000" w:rsidR="00000000" w:rsidRPr="00000000">
        <w:rPr>
          <w:vertAlign w:val="superscript"/>
          <w:rtl w:val="0"/>
        </w:rPr>
        <w:t xml:space="preserve">3</w:t>
      </w:r>
      <w:r w:rsidDel="00000000" w:rsidR="00000000" w:rsidRPr="00000000">
        <w:rPr>
          <w:vertAlign w:val="baseline"/>
          <w:rtl w:val="0"/>
        </w:rPr>
        <w:t xml:space="preserve">) các tiêu chí đều đạt chuẩn theo yêu cầu. Đối với tiêu chí D2% thì ở cả nhóm 2 và 3 các kế hoạch xạ phẫu sử dụng kỹ thuật VMAT đều lớn hơn so với kế hoạch xạ phẫu sử dụng kỹ thuật DCAT và có ý nghĩa thống kê. Ngoài ra, các chỉ số đánh giá về liều vào PTV thu được từ kế hoạch VMAT cho giá trị gần với giá trị lý tưởng hơn so với kế hoạch và có ý nghĩa thống kê.</w:t>
      </w:r>
    </w:p>
    <w:p w:rsidR="00000000" w:rsidDel="00000000" w:rsidP="00000000" w:rsidRDefault="00000000" w:rsidRPr="00000000" w14:paraId="000000FA">
      <w:pPr>
        <w:ind w:firstLine="284"/>
        <w:rPr>
          <w:vertAlign w:val="baseline"/>
        </w:rPr>
      </w:pPr>
      <w:r w:rsidDel="00000000" w:rsidR="00000000" w:rsidRPr="00000000">
        <w:rPr>
          <w:rtl w:val="0"/>
        </w:rPr>
      </w:r>
    </w:p>
    <w:p w:rsidR="00000000" w:rsidDel="00000000" w:rsidP="00000000" w:rsidRDefault="00000000" w:rsidRPr="00000000" w14:paraId="000000FB">
      <w:pPr>
        <w:ind w:firstLine="284"/>
        <w:rPr>
          <w:vertAlign w:val="baseline"/>
        </w:rPr>
      </w:pPr>
      <w:r w:rsidDel="00000000" w:rsidR="00000000" w:rsidRPr="00000000">
        <w:rPr>
          <w:rtl w:val="0"/>
        </w:rPr>
      </w:r>
    </w:p>
    <w:p w:rsidR="00000000" w:rsidDel="00000000" w:rsidP="00000000" w:rsidRDefault="00000000" w:rsidRPr="00000000" w14:paraId="000000FC">
      <w:pPr>
        <w:ind w:firstLine="284"/>
        <w:jc w:val="center"/>
        <w:rPr>
          <w:b w:val="0"/>
          <w:i w:val="0"/>
          <w:vertAlign w:val="baseline"/>
        </w:rPr>
      </w:pPr>
      <w:r w:rsidDel="00000000" w:rsidR="00000000" w:rsidRPr="00000000">
        <w:rPr>
          <w:rtl w:val="0"/>
        </w:rPr>
      </w:r>
    </w:p>
    <w:p w:rsidR="00000000" w:rsidDel="00000000" w:rsidP="00000000" w:rsidRDefault="00000000" w:rsidRPr="00000000" w14:paraId="000000FD">
      <w:pPr>
        <w:ind w:firstLine="284"/>
        <w:rPr>
          <w:vertAlign w:val="baseline"/>
        </w:rPr>
      </w:pPr>
      <w:r w:rsidDel="00000000" w:rsidR="00000000" w:rsidRPr="00000000">
        <w:rPr>
          <w:vertAlign w:val="baseline"/>
          <w:rtl w:val="0"/>
        </w:rPr>
        <w:t xml:space="preserve">Liều vào não lành (thể tích não còn lại sau khi đã trừ thể tích PTV) của các nhóm được trình bày ở bảng 6.</w:t>
      </w:r>
    </w:p>
    <w:p w:rsidR="00000000" w:rsidDel="00000000" w:rsidP="00000000" w:rsidRDefault="00000000" w:rsidRPr="00000000" w14:paraId="000000FE">
      <w:pPr>
        <w:ind w:firstLine="284"/>
        <w:rPr>
          <w:vertAlign w:val="baseline"/>
        </w:rPr>
      </w:pPr>
      <w:r w:rsidDel="00000000" w:rsidR="00000000" w:rsidRPr="00000000">
        <w:rPr>
          <w:rtl w:val="0"/>
        </w:rPr>
      </w:r>
    </w:p>
    <w:p w:rsidR="00000000" w:rsidDel="00000000" w:rsidP="00000000" w:rsidRDefault="00000000" w:rsidRPr="00000000" w14:paraId="000000FF">
      <w:pPr>
        <w:jc w:val="center"/>
        <w:rPr>
          <w:b w:val="0"/>
          <w:i w:val="0"/>
          <w:vertAlign w:val="baseline"/>
        </w:rPr>
      </w:pPr>
      <w:r w:rsidDel="00000000" w:rsidR="00000000" w:rsidRPr="00000000">
        <w:rPr>
          <w:b w:val="1"/>
          <w:i w:val="1"/>
          <w:vertAlign w:val="baseline"/>
          <w:rtl w:val="0"/>
        </w:rPr>
        <w:t xml:space="preserve">Bảng 6. Tổng hợp liều vào não lành của các nhóm</w:t>
      </w:r>
      <w:r w:rsidDel="00000000" w:rsidR="00000000" w:rsidRPr="00000000">
        <w:rPr>
          <w:rtl w:val="0"/>
        </w:rPr>
      </w:r>
    </w:p>
    <w:tbl>
      <w:tblPr>
        <w:tblStyle w:val="Table6"/>
        <w:tblW w:w="10890.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900"/>
        <w:gridCol w:w="990"/>
        <w:gridCol w:w="1350"/>
        <w:gridCol w:w="1350"/>
        <w:gridCol w:w="810"/>
        <w:gridCol w:w="1350"/>
        <w:gridCol w:w="1350"/>
        <w:gridCol w:w="990"/>
        <w:tblGridChange w:id="0">
          <w:tblGrid>
            <w:gridCol w:w="1800"/>
            <w:gridCol w:w="900"/>
            <w:gridCol w:w="990"/>
            <w:gridCol w:w="1350"/>
            <w:gridCol w:w="1350"/>
            <w:gridCol w:w="810"/>
            <w:gridCol w:w="1350"/>
            <w:gridCol w:w="1350"/>
            <w:gridCol w:w="990"/>
          </w:tblGrid>
        </w:tblGridChange>
      </w:tblGrid>
      <w:tr>
        <w:trPr>
          <w:cantSplit w:val="1"/>
          <w:tblHeader w:val="0"/>
        </w:trPr>
        <w:tc>
          <w:tcPr>
            <w:vMerge w:val="restart"/>
            <w:vAlign w:val="center"/>
          </w:tcPr>
          <w:p w:rsidR="00000000" w:rsidDel="00000000" w:rsidP="00000000" w:rsidRDefault="00000000" w:rsidRPr="00000000" w14:paraId="00000100">
            <w:pPr>
              <w:jc w:val="center"/>
              <w:rPr>
                <w:b w:val="0"/>
                <w:vertAlign w:val="baseline"/>
              </w:rPr>
            </w:pPr>
            <w:r w:rsidDel="00000000" w:rsidR="00000000" w:rsidRPr="00000000">
              <w:rPr>
                <w:b w:val="1"/>
                <w:vertAlign w:val="baseline"/>
                <w:rtl w:val="0"/>
              </w:rPr>
              <w:t xml:space="preserve">Tiêu chí</w:t>
            </w:r>
            <w:r w:rsidDel="00000000" w:rsidR="00000000" w:rsidRPr="00000000">
              <w:rPr>
                <w:rtl w:val="0"/>
              </w:rPr>
            </w:r>
          </w:p>
        </w:tc>
        <w:tc>
          <w:tcPr>
            <w:gridSpan w:val="2"/>
            <w:vAlign w:val="center"/>
          </w:tcPr>
          <w:p w:rsidR="00000000" w:rsidDel="00000000" w:rsidP="00000000" w:rsidRDefault="00000000" w:rsidRPr="00000000" w14:paraId="00000101">
            <w:pPr>
              <w:jc w:val="center"/>
              <w:rPr>
                <w:b w:val="0"/>
                <w:vertAlign w:val="baseline"/>
              </w:rPr>
            </w:pPr>
            <w:r w:rsidDel="00000000" w:rsidR="00000000" w:rsidRPr="00000000">
              <w:rPr>
                <w:b w:val="1"/>
                <w:vertAlign w:val="baseline"/>
                <w:rtl w:val="0"/>
              </w:rPr>
              <w:t xml:space="preserve">PTV &lt; 2 cm</w:t>
            </w:r>
            <w:r w:rsidDel="00000000" w:rsidR="00000000" w:rsidRPr="00000000">
              <w:rPr>
                <w:b w:val="1"/>
                <w:vertAlign w:val="superscript"/>
                <w:rtl w:val="0"/>
              </w:rPr>
              <w:t xml:space="preserve">3</w:t>
            </w:r>
            <w:r w:rsidDel="00000000" w:rsidR="00000000" w:rsidRPr="00000000">
              <w:rPr>
                <w:rtl w:val="0"/>
              </w:rPr>
            </w:r>
          </w:p>
        </w:tc>
        <w:tc>
          <w:tcPr>
            <w:gridSpan w:val="3"/>
            <w:vAlign w:val="center"/>
          </w:tcPr>
          <w:p w:rsidR="00000000" w:rsidDel="00000000" w:rsidP="00000000" w:rsidRDefault="00000000" w:rsidRPr="00000000" w14:paraId="00000103">
            <w:pPr>
              <w:jc w:val="center"/>
              <w:rPr>
                <w:b w:val="0"/>
                <w:vertAlign w:val="baseline"/>
              </w:rPr>
            </w:pPr>
            <w:r w:rsidDel="00000000" w:rsidR="00000000" w:rsidRPr="00000000">
              <w:rPr>
                <w:b w:val="1"/>
                <w:vertAlign w:val="baseline"/>
                <w:rtl w:val="0"/>
              </w:rPr>
              <w:t xml:space="preserve">2 cm</w:t>
            </w:r>
            <w:r w:rsidDel="00000000" w:rsidR="00000000" w:rsidRPr="00000000">
              <w:rPr>
                <w:b w:val="1"/>
                <w:vertAlign w:val="superscript"/>
                <w:rtl w:val="0"/>
              </w:rPr>
              <w:t xml:space="preserve">3</w:t>
            </w:r>
            <w:r w:rsidDel="00000000" w:rsidR="00000000" w:rsidRPr="00000000">
              <w:rPr>
                <w:rFonts w:ascii="Gungsuh" w:cs="Gungsuh" w:eastAsia="Gungsuh" w:hAnsi="Gungsuh"/>
                <w:b w:val="1"/>
                <w:vertAlign w:val="baseline"/>
                <w:rtl w:val="0"/>
              </w:rPr>
              <w:t xml:space="preserve"> ≤ PTV ≤ 10 cm</w:t>
            </w:r>
            <w:r w:rsidDel="00000000" w:rsidR="00000000" w:rsidRPr="00000000">
              <w:rPr>
                <w:b w:val="1"/>
                <w:vertAlign w:val="superscript"/>
                <w:rtl w:val="0"/>
              </w:rPr>
              <w:t xml:space="preserve">3</w:t>
            </w:r>
            <w:r w:rsidDel="00000000" w:rsidR="00000000" w:rsidRPr="00000000">
              <w:rPr>
                <w:rtl w:val="0"/>
              </w:rPr>
            </w:r>
          </w:p>
        </w:tc>
        <w:tc>
          <w:tcPr>
            <w:gridSpan w:val="3"/>
            <w:vAlign w:val="center"/>
          </w:tcPr>
          <w:p w:rsidR="00000000" w:rsidDel="00000000" w:rsidP="00000000" w:rsidRDefault="00000000" w:rsidRPr="00000000" w14:paraId="00000106">
            <w:pPr>
              <w:jc w:val="center"/>
              <w:rPr>
                <w:b w:val="0"/>
                <w:vertAlign w:val="baseline"/>
              </w:rPr>
            </w:pPr>
            <w:r w:rsidDel="00000000" w:rsidR="00000000" w:rsidRPr="00000000">
              <w:rPr>
                <w:b w:val="1"/>
                <w:vertAlign w:val="baseline"/>
                <w:rtl w:val="0"/>
              </w:rPr>
              <w:t xml:space="preserve">PTV &gt; 10 cm</w:t>
            </w:r>
            <w:r w:rsidDel="00000000" w:rsidR="00000000" w:rsidRPr="00000000">
              <w:rPr>
                <w:b w:val="1"/>
                <w:vertAlign w:val="superscript"/>
                <w:rtl w:val="0"/>
              </w:rPr>
              <w:t xml:space="preserve">3</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center"/>
          </w:tcPr>
          <w:p w:rsidR="00000000" w:rsidDel="00000000" w:rsidP="00000000" w:rsidRDefault="00000000" w:rsidRPr="00000000" w14:paraId="0000010A">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10B">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10C">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10D">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10E">
            <w:pPr>
              <w:jc w:val="center"/>
              <w:rPr>
                <w:b w:val="0"/>
                <w:vertAlign w:val="baseline"/>
              </w:rPr>
            </w:pPr>
            <w:r w:rsidDel="00000000" w:rsidR="00000000" w:rsidRPr="00000000">
              <w:rPr>
                <w:b w:val="1"/>
                <w:vertAlign w:val="baseline"/>
                <w:rtl w:val="0"/>
              </w:rPr>
              <w:t xml:space="preserve">Giá trị p</w:t>
            </w:r>
            <w:r w:rsidDel="00000000" w:rsidR="00000000" w:rsidRPr="00000000">
              <w:rPr>
                <w:rtl w:val="0"/>
              </w:rPr>
            </w:r>
          </w:p>
        </w:tc>
        <w:tc>
          <w:tcPr>
            <w:vAlign w:val="center"/>
          </w:tcPr>
          <w:p w:rsidR="00000000" w:rsidDel="00000000" w:rsidP="00000000" w:rsidRDefault="00000000" w:rsidRPr="00000000" w14:paraId="0000010F">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110">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111">
            <w:pPr>
              <w:jc w:val="center"/>
              <w:rPr>
                <w:b w:val="0"/>
                <w:vertAlign w:val="baseline"/>
              </w:rPr>
            </w:pPr>
            <w:r w:rsidDel="00000000" w:rsidR="00000000" w:rsidRPr="00000000">
              <w:rPr>
                <w:b w:val="1"/>
                <w:vertAlign w:val="baseline"/>
                <w:rtl w:val="0"/>
              </w:rPr>
              <w:t xml:space="preserve">Giá trị 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2">
            <w:pPr>
              <w:jc w:val="center"/>
              <w:rPr>
                <w:b w:val="0"/>
                <w:vertAlign w:val="baseline"/>
              </w:rPr>
            </w:pPr>
            <w:r w:rsidDel="00000000" w:rsidR="00000000" w:rsidRPr="00000000">
              <w:rPr>
                <w:b w:val="1"/>
                <w:vertAlign w:val="baseline"/>
                <w:rtl w:val="0"/>
              </w:rPr>
              <w:t xml:space="preserve">D7cc (Gy)&lt; 23,1Gy</w:t>
            </w:r>
            <w:r w:rsidDel="00000000" w:rsidR="00000000" w:rsidRPr="00000000">
              <w:rPr>
                <w:rtl w:val="0"/>
              </w:rPr>
            </w:r>
          </w:p>
        </w:tc>
        <w:tc>
          <w:tcPr>
            <w:vAlign w:val="center"/>
          </w:tcPr>
          <w:p w:rsidR="00000000" w:rsidDel="00000000" w:rsidP="00000000" w:rsidRDefault="00000000" w:rsidRPr="00000000" w14:paraId="00000113">
            <w:pPr>
              <w:jc w:val="center"/>
              <w:rPr>
                <w:vertAlign w:val="baseline"/>
              </w:rPr>
            </w:pPr>
            <w:r w:rsidDel="00000000" w:rsidR="00000000" w:rsidRPr="00000000">
              <w:rPr>
                <w:vertAlign w:val="baseline"/>
                <w:rtl w:val="0"/>
              </w:rPr>
              <w:t xml:space="preserve">9,20</w:t>
            </w:r>
          </w:p>
        </w:tc>
        <w:tc>
          <w:tcPr>
            <w:vAlign w:val="center"/>
          </w:tcPr>
          <w:p w:rsidR="00000000" w:rsidDel="00000000" w:rsidP="00000000" w:rsidRDefault="00000000" w:rsidRPr="00000000" w14:paraId="00000114">
            <w:pPr>
              <w:jc w:val="center"/>
              <w:rPr>
                <w:vertAlign w:val="baseline"/>
              </w:rPr>
            </w:pPr>
            <w:r w:rsidDel="00000000" w:rsidR="00000000" w:rsidRPr="00000000">
              <w:rPr>
                <w:vertAlign w:val="baseline"/>
                <w:rtl w:val="0"/>
              </w:rPr>
              <w:t xml:space="preserve">10,81</w:t>
            </w:r>
          </w:p>
        </w:tc>
        <w:tc>
          <w:tcPr>
            <w:vAlign w:val="center"/>
          </w:tcPr>
          <w:p w:rsidR="00000000" w:rsidDel="00000000" w:rsidP="00000000" w:rsidRDefault="00000000" w:rsidRPr="00000000" w14:paraId="00000115">
            <w:pPr>
              <w:jc w:val="center"/>
              <w:rPr>
                <w:vertAlign w:val="baseline"/>
              </w:rPr>
            </w:pPr>
            <w:r w:rsidDel="00000000" w:rsidR="00000000" w:rsidRPr="00000000">
              <w:rPr>
                <w:vertAlign w:val="baseline"/>
                <w:rtl w:val="0"/>
              </w:rPr>
              <w:t xml:space="preserve">21,49±1,21</w:t>
            </w:r>
          </w:p>
        </w:tc>
        <w:tc>
          <w:tcPr>
            <w:vAlign w:val="center"/>
          </w:tcPr>
          <w:p w:rsidR="00000000" w:rsidDel="00000000" w:rsidP="00000000" w:rsidRDefault="00000000" w:rsidRPr="00000000" w14:paraId="00000116">
            <w:pPr>
              <w:jc w:val="center"/>
              <w:rPr>
                <w:vertAlign w:val="baseline"/>
              </w:rPr>
            </w:pPr>
            <w:r w:rsidDel="00000000" w:rsidR="00000000" w:rsidRPr="00000000">
              <w:rPr>
                <w:vertAlign w:val="baseline"/>
                <w:rtl w:val="0"/>
              </w:rPr>
              <w:t xml:space="preserve">20,45±0,95</w:t>
            </w:r>
          </w:p>
        </w:tc>
        <w:tc>
          <w:tcPr>
            <w:vAlign w:val="center"/>
          </w:tcPr>
          <w:p w:rsidR="00000000" w:rsidDel="00000000" w:rsidP="00000000" w:rsidRDefault="00000000" w:rsidRPr="00000000" w14:paraId="00000117">
            <w:pPr>
              <w:jc w:val="center"/>
              <w:rPr>
                <w:vertAlign w:val="baseline"/>
              </w:rPr>
            </w:pPr>
            <w:r w:rsidDel="00000000" w:rsidR="00000000" w:rsidRPr="00000000">
              <w:rPr>
                <w:vertAlign w:val="baseline"/>
                <w:rtl w:val="0"/>
              </w:rPr>
              <w:t xml:space="preserve">0,014</w:t>
            </w:r>
          </w:p>
        </w:tc>
        <w:tc>
          <w:tcPr>
            <w:vAlign w:val="center"/>
          </w:tcPr>
          <w:p w:rsidR="00000000" w:rsidDel="00000000" w:rsidP="00000000" w:rsidRDefault="00000000" w:rsidRPr="00000000" w14:paraId="00000118">
            <w:pPr>
              <w:jc w:val="center"/>
              <w:rPr>
                <w:vertAlign w:val="baseline"/>
              </w:rPr>
            </w:pPr>
            <w:r w:rsidDel="00000000" w:rsidR="00000000" w:rsidRPr="00000000">
              <w:rPr>
                <w:vertAlign w:val="baseline"/>
                <w:rtl w:val="0"/>
              </w:rPr>
              <w:t xml:space="preserve">23,67±0,78</w:t>
            </w:r>
          </w:p>
        </w:tc>
        <w:tc>
          <w:tcPr>
            <w:vAlign w:val="center"/>
          </w:tcPr>
          <w:p w:rsidR="00000000" w:rsidDel="00000000" w:rsidP="00000000" w:rsidRDefault="00000000" w:rsidRPr="00000000" w14:paraId="00000119">
            <w:pPr>
              <w:jc w:val="center"/>
              <w:rPr>
                <w:vertAlign w:val="baseline"/>
              </w:rPr>
            </w:pPr>
            <w:r w:rsidDel="00000000" w:rsidR="00000000" w:rsidRPr="00000000">
              <w:rPr>
                <w:vertAlign w:val="baseline"/>
                <w:rtl w:val="0"/>
              </w:rPr>
              <w:t xml:space="preserve">22,15±0,67</w:t>
            </w:r>
          </w:p>
        </w:tc>
        <w:tc>
          <w:tcPr>
            <w:vAlign w:val="center"/>
          </w:tcPr>
          <w:p w:rsidR="00000000" w:rsidDel="00000000" w:rsidP="00000000" w:rsidRDefault="00000000" w:rsidRPr="00000000" w14:paraId="0000011A">
            <w:pPr>
              <w:jc w:val="center"/>
              <w:rPr>
                <w:vertAlign w:val="baseline"/>
              </w:rPr>
            </w:pPr>
            <w:r w:rsidDel="00000000" w:rsidR="00000000" w:rsidRPr="00000000">
              <w:rPr>
                <w:vertAlign w:val="baseline"/>
                <w:rtl w:val="0"/>
              </w:rPr>
              <w:t xml:space="preserve">&lt;0,001</w:t>
            </w:r>
          </w:p>
        </w:tc>
      </w:tr>
      <w:tr>
        <w:trPr>
          <w:cantSplit w:val="0"/>
          <w:tblHeader w:val="0"/>
        </w:trPr>
        <w:tc>
          <w:tcPr>
            <w:vAlign w:val="center"/>
          </w:tcPr>
          <w:p w:rsidR="00000000" w:rsidDel="00000000" w:rsidP="00000000" w:rsidRDefault="00000000" w:rsidRPr="00000000" w14:paraId="0000011B">
            <w:pPr>
              <w:jc w:val="center"/>
              <w:rPr>
                <w:b w:val="0"/>
                <w:vertAlign w:val="baseline"/>
              </w:rPr>
            </w:pPr>
            <w:r w:rsidDel="00000000" w:rsidR="00000000" w:rsidRPr="00000000">
              <w:rPr>
                <w:b w:val="1"/>
                <w:vertAlign w:val="baseline"/>
                <w:rtl w:val="0"/>
              </w:rPr>
              <w:t xml:space="preserve">D20,9cc(Gy)&lt; 21Gy</w:t>
            </w:r>
            <w:r w:rsidDel="00000000" w:rsidR="00000000" w:rsidRPr="00000000">
              <w:rPr>
                <w:rtl w:val="0"/>
              </w:rPr>
            </w:r>
          </w:p>
        </w:tc>
        <w:tc>
          <w:tcPr>
            <w:vAlign w:val="center"/>
          </w:tcPr>
          <w:p w:rsidR="00000000" w:rsidDel="00000000" w:rsidP="00000000" w:rsidRDefault="00000000" w:rsidRPr="00000000" w14:paraId="0000011C">
            <w:pPr>
              <w:jc w:val="center"/>
              <w:rPr>
                <w:vertAlign w:val="baseline"/>
              </w:rPr>
            </w:pPr>
            <w:r w:rsidDel="00000000" w:rsidR="00000000" w:rsidRPr="00000000">
              <w:rPr>
                <w:vertAlign w:val="baseline"/>
                <w:rtl w:val="0"/>
              </w:rPr>
              <w:t xml:space="preserve">4,44</w:t>
            </w:r>
          </w:p>
        </w:tc>
        <w:tc>
          <w:tcPr>
            <w:vAlign w:val="center"/>
          </w:tcPr>
          <w:p w:rsidR="00000000" w:rsidDel="00000000" w:rsidP="00000000" w:rsidRDefault="00000000" w:rsidRPr="00000000" w14:paraId="0000011D">
            <w:pPr>
              <w:jc w:val="center"/>
              <w:rPr>
                <w:vertAlign w:val="baseline"/>
              </w:rPr>
            </w:pPr>
            <w:r w:rsidDel="00000000" w:rsidR="00000000" w:rsidRPr="00000000">
              <w:rPr>
                <w:vertAlign w:val="baseline"/>
                <w:rtl w:val="0"/>
              </w:rPr>
              <w:t xml:space="preserve">5,37</w:t>
            </w:r>
          </w:p>
        </w:tc>
        <w:tc>
          <w:tcPr>
            <w:vAlign w:val="center"/>
          </w:tcPr>
          <w:p w:rsidR="00000000" w:rsidDel="00000000" w:rsidP="00000000" w:rsidRDefault="00000000" w:rsidRPr="00000000" w14:paraId="0000011E">
            <w:pPr>
              <w:jc w:val="center"/>
              <w:rPr>
                <w:vertAlign w:val="baseline"/>
              </w:rPr>
            </w:pPr>
            <w:r w:rsidDel="00000000" w:rsidR="00000000" w:rsidRPr="00000000">
              <w:rPr>
                <w:vertAlign w:val="baseline"/>
                <w:rtl w:val="0"/>
              </w:rPr>
              <w:t xml:space="preserve">12,80±1,07</w:t>
            </w:r>
          </w:p>
        </w:tc>
        <w:tc>
          <w:tcPr>
            <w:vAlign w:val="center"/>
          </w:tcPr>
          <w:p w:rsidR="00000000" w:rsidDel="00000000" w:rsidP="00000000" w:rsidRDefault="00000000" w:rsidRPr="00000000" w14:paraId="0000011F">
            <w:pPr>
              <w:jc w:val="center"/>
              <w:rPr>
                <w:vertAlign w:val="baseline"/>
              </w:rPr>
            </w:pPr>
            <w:r w:rsidDel="00000000" w:rsidR="00000000" w:rsidRPr="00000000">
              <w:rPr>
                <w:vertAlign w:val="baseline"/>
                <w:rtl w:val="0"/>
              </w:rPr>
              <w:t xml:space="preserve">12,00±0,91</w:t>
            </w:r>
          </w:p>
        </w:tc>
        <w:tc>
          <w:tcPr>
            <w:vAlign w:val="center"/>
          </w:tcPr>
          <w:p w:rsidR="00000000" w:rsidDel="00000000" w:rsidP="00000000" w:rsidRDefault="00000000" w:rsidRPr="00000000" w14:paraId="00000120">
            <w:pPr>
              <w:jc w:val="center"/>
              <w:rPr>
                <w:vertAlign w:val="baseline"/>
              </w:rPr>
            </w:pPr>
            <w:r w:rsidDel="00000000" w:rsidR="00000000" w:rsidRPr="00000000">
              <w:rPr>
                <w:vertAlign w:val="baseline"/>
                <w:rtl w:val="0"/>
              </w:rPr>
              <w:t xml:space="preserve">0,005</w:t>
            </w:r>
          </w:p>
        </w:tc>
        <w:tc>
          <w:tcPr>
            <w:vAlign w:val="center"/>
          </w:tcPr>
          <w:p w:rsidR="00000000" w:rsidDel="00000000" w:rsidP="00000000" w:rsidRDefault="00000000" w:rsidRPr="00000000" w14:paraId="00000121">
            <w:pPr>
              <w:jc w:val="center"/>
              <w:rPr>
                <w:vertAlign w:val="baseline"/>
              </w:rPr>
            </w:pPr>
            <w:r w:rsidDel="00000000" w:rsidR="00000000" w:rsidRPr="00000000">
              <w:rPr>
                <w:vertAlign w:val="baseline"/>
                <w:rtl w:val="0"/>
              </w:rPr>
              <w:t xml:space="preserve">14,53±0,76</w:t>
            </w:r>
          </w:p>
        </w:tc>
        <w:tc>
          <w:tcPr>
            <w:vAlign w:val="center"/>
          </w:tcPr>
          <w:p w:rsidR="00000000" w:rsidDel="00000000" w:rsidP="00000000" w:rsidRDefault="00000000" w:rsidRPr="00000000" w14:paraId="00000122">
            <w:pPr>
              <w:jc w:val="center"/>
              <w:rPr>
                <w:vertAlign w:val="baseline"/>
              </w:rPr>
            </w:pPr>
            <w:r w:rsidDel="00000000" w:rsidR="00000000" w:rsidRPr="00000000">
              <w:rPr>
                <w:vertAlign w:val="baseline"/>
                <w:rtl w:val="0"/>
              </w:rPr>
              <w:t xml:space="preserve">13,51±0,67</w:t>
            </w:r>
          </w:p>
        </w:tc>
        <w:tc>
          <w:tcPr>
            <w:vAlign w:val="center"/>
          </w:tcPr>
          <w:p w:rsidR="00000000" w:rsidDel="00000000" w:rsidP="00000000" w:rsidRDefault="00000000" w:rsidRPr="00000000" w14:paraId="00000123">
            <w:pPr>
              <w:jc w:val="center"/>
              <w:rPr>
                <w:vertAlign w:val="baseline"/>
              </w:rPr>
            </w:pPr>
            <w:r w:rsidDel="00000000" w:rsidR="00000000" w:rsidRPr="00000000">
              <w:rPr>
                <w:vertAlign w:val="baseline"/>
                <w:rtl w:val="0"/>
              </w:rPr>
              <w:t xml:space="preserve">&lt; 0,001</w:t>
            </w:r>
          </w:p>
        </w:tc>
      </w:tr>
      <w:tr>
        <w:trPr>
          <w:cantSplit w:val="0"/>
          <w:tblHeader w:val="0"/>
        </w:trPr>
        <w:tc>
          <w:tcPr>
            <w:vAlign w:val="center"/>
          </w:tcPr>
          <w:p w:rsidR="00000000" w:rsidDel="00000000" w:rsidP="00000000" w:rsidRDefault="00000000" w:rsidRPr="00000000" w14:paraId="00000124">
            <w:pPr>
              <w:jc w:val="center"/>
              <w:rPr>
                <w:b w:val="0"/>
                <w:vertAlign w:val="baseline"/>
              </w:rPr>
            </w:pPr>
            <w:r w:rsidDel="00000000" w:rsidR="00000000" w:rsidRPr="00000000">
              <w:rPr>
                <w:b w:val="1"/>
                <w:vertAlign w:val="baseline"/>
                <w:rtl w:val="0"/>
              </w:rPr>
              <w:t xml:space="preserve">V12Gy&lt; 10%</w:t>
            </w:r>
            <w:r w:rsidDel="00000000" w:rsidR="00000000" w:rsidRPr="00000000">
              <w:rPr>
                <w:rtl w:val="0"/>
              </w:rPr>
            </w:r>
          </w:p>
        </w:tc>
        <w:tc>
          <w:tcPr>
            <w:vAlign w:val="center"/>
          </w:tcPr>
          <w:p w:rsidR="00000000" w:rsidDel="00000000" w:rsidP="00000000" w:rsidRDefault="00000000" w:rsidRPr="00000000" w14:paraId="00000125">
            <w:pPr>
              <w:jc w:val="center"/>
              <w:rPr>
                <w:vertAlign w:val="baseline"/>
              </w:rPr>
            </w:pPr>
            <w:r w:rsidDel="00000000" w:rsidR="00000000" w:rsidRPr="00000000">
              <w:rPr>
                <w:vertAlign w:val="baseline"/>
                <w:rtl w:val="0"/>
              </w:rPr>
              <w:t xml:space="preserve">0,30</w:t>
            </w:r>
          </w:p>
        </w:tc>
        <w:tc>
          <w:tcPr>
            <w:vAlign w:val="center"/>
          </w:tcPr>
          <w:p w:rsidR="00000000" w:rsidDel="00000000" w:rsidP="00000000" w:rsidRDefault="00000000" w:rsidRPr="00000000" w14:paraId="00000126">
            <w:pPr>
              <w:jc w:val="center"/>
              <w:rPr>
                <w:vertAlign w:val="baseline"/>
              </w:rPr>
            </w:pPr>
            <w:r w:rsidDel="00000000" w:rsidR="00000000" w:rsidRPr="00000000">
              <w:rPr>
                <w:vertAlign w:val="baseline"/>
                <w:rtl w:val="0"/>
              </w:rPr>
              <w:t xml:space="preserve">0,38</w:t>
            </w:r>
          </w:p>
        </w:tc>
        <w:tc>
          <w:tcPr>
            <w:vAlign w:val="center"/>
          </w:tcPr>
          <w:p w:rsidR="00000000" w:rsidDel="00000000" w:rsidP="00000000" w:rsidRDefault="00000000" w:rsidRPr="00000000" w14:paraId="00000127">
            <w:pPr>
              <w:jc w:val="center"/>
              <w:rPr>
                <w:vertAlign w:val="baseline"/>
              </w:rPr>
            </w:pPr>
            <w:r w:rsidDel="00000000" w:rsidR="00000000" w:rsidRPr="00000000">
              <w:rPr>
                <w:vertAlign w:val="baseline"/>
                <w:rtl w:val="0"/>
              </w:rPr>
              <w:t xml:space="preserve">1,94±0,28</w:t>
            </w:r>
          </w:p>
        </w:tc>
        <w:tc>
          <w:tcPr>
            <w:vAlign w:val="center"/>
          </w:tcPr>
          <w:p w:rsidR="00000000" w:rsidDel="00000000" w:rsidP="00000000" w:rsidRDefault="00000000" w:rsidRPr="00000000" w14:paraId="00000128">
            <w:pPr>
              <w:jc w:val="center"/>
              <w:rPr>
                <w:vertAlign w:val="baseline"/>
              </w:rPr>
            </w:pPr>
            <w:r w:rsidDel="00000000" w:rsidR="00000000" w:rsidRPr="00000000">
              <w:rPr>
                <w:vertAlign w:val="baseline"/>
                <w:rtl w:val="0"/>
              </w:rPr>
              <w:t xml:space="preserve">1,74±0,24</w:t>
            </w:r>
          </w:p>
        </w:tc>
        <w:tc>
          <w:tcPr>
            <w:vAlign w:val="center"/>
          </w:tcPr>
          <w:p w:rsidR="00000000" w:rsidDel="00000000" w:rsidP="00000000" w:rsidRDefault="00000000" w:rsidRPr="00000000" w14:paraId="00000129">
            <w:pPr>
              <w:jc w:val="center"/>
              <w:rPr>
                <w:vertAlign w:val="baseline"/>
              </w:rPr>
            </w:pPr>
            <w:r w:rsidDel="00000000" w:rsidR="00000000" w:rsidRPr="00000000">
              <w:rPr>
                <w:vertAlign w:val="baseline"/>
                <w:rtl w:val="0"/>
              </w:rPr>
              <w:t xml:space="preserve">0,01</w:t>
            </w:r>
          </w:p>
        </w:tc>
        <w:tc>
          <w:tcPr>
            <w:vAlign w:val="center"/>
          </w:tcPr>
          <w:p w:rsidR="00000000" w:rsidDel="00000000" w:rsidP="00000000" w:rsidRDefault="00000000" w:rsidRPr="00000000" w14:paraId="0000012A">
            <w:pPr>
              <w:jc w:val="center"/>
              <w:rPr>
                <w:vertAlign w:val="baseline"/>
              </w:rPr>
            </w:pPr>
            <w:r w:rsidDel="00000000" w:rsidR="00000000" w:rsidRPr="00000000">
              <w:rPr>
                <w:vertAlign w:val="baseline"/>
                <w:rtl w:val="0"/>
              </w:rPr>
              <w:t xml:space="preserve">2,36±0,24</w:t>
            </w:r>
          </w:p>
        </w:tc>
        <w:tc>
          <w:tcPr>
            <w:vAlign w:val="center"/>
          </w:tcPr>
          <w:p w:rsidR="00000000" w:rsidDel="00000000" w:rsidP="00000000" w:rsidRDefault="00000000" w:rsidRPr="00000000" w14:paraId="0000012B">
            <w:pPr>
              <w:jc w:val="center"/>
              <w:rPr>
                <w:vertAlign w:val="baseline"/>
              </w:rPr>
            </w:pPr>
            <w:r w:rsidDel="00000000" w:rsidR="00000000" w:rsidRPr="00000000">
              <w:rPr>
                <w:vertAlign w:val="baseline"/>
                <w:rtl w:val="0"/>
              </w:rPr>
              <w:t xml:space="preserve">2,07±0,20</w:t>
            </w:r>
          </w:p>
        </w:tc>
        <w:tc>
          <w:tcPr>
            <w:vAlign w:val="center"/>
          </w:tcPr>
          <w:p w:rsidR="00000000" w:rsidDel="00000000" w:rsidP="00000000" w:rsidRDefault="00000000" w:rsidRPr="00000000" w14:paraId="0000012C">
            <w:pPr>
              <w:jc w:val="center"/>
              <w:rPr>
                <w:vertAlign w:val="baseline"/>
              </w:rPr>
            </w:pPr>
            <w:r w:rsidDel="00000000" w:rsidR="00000000" w:rsidRPr="00000000">
              <w:rPr>
                <w:vertAlign w:val="baseline"/>
                <w:rtl w:val="0"/>
              </w:rPr>
              <w:t xml:space="preserve">&lt; 0,001</w:t>
            </w:r>
          </w:p>
        </w:tc>
      </w:tr>
    </w:tbl>
    <w:p w:rsidR="00000000" w:rsidDel="00000000" w:rsidP="00000000" w:rsidRDefault="00000000" w:rsidRPr="00000000" w14:paraId="0000012D">
      <w:pPr>
        <w:ind w:firstLine="284"/>
        <w:rPr>
          <w:vertAlign w:val="baseline"/>
        </w:rPr>
      </w:pPr>
      <w:r w:rsidDel="00000000" w:rsidR="00000000" w:rsidRPr="00000000">
        <w:rPr>
          <w:vertAlign w:val="baseline"/>
          <w:rtl w:val="0"/>
        </w:rPr>
        <w:t xml:space="preserve">Bảng 6 cho ta thấy kế hoạch xạ phẫu sử dụng kỹ thuật DCAT ở nhóm 1 cho liều vào não lành thấp hơn so với kế hoạch xạ phẫu sử dụng kỹ thuật DCAT. Ngược lại,  nhóm 2 và 3 các tiêu chí liều vào não lành của kỹ thuật VMAT thấp hơn so với kỹ thuật DCAT và có ý nghĩa thống kê.</w:t>
      </w:r>
    </w:p>
    <w:p w:rsidR="00000000" w:rsidDel="00000000" w:rsidP="00000000" w:rsidRDefault="00000000" w:rsidRPr="00000000" w14:paraId="0000012E">
      <w:pPr>
        <w:ind w:firstLine="284"/>
        <w:rPr>
          <w:vertAlign w:val="baseline"/>
        </w:rPr>
      </w:pPr>
      <w:r w:rsidDel="00000000" w:rsidR="00000000" w:rsidRPr="00000000">
        <w:rPr>
          <w:vertAlign w:val="baseline"/>
          <w:rtl w:val="0"/>
        </w:rPr>
        <w:t xml:space="preserve">Đối với thân não, bảng 7 cho kết quả như sau:</w:t>
      </w:r>
    </w:p>
    <w:p w:rsidR="00000000" w:rsidDel="00000000" w:rsidP="00000000" w:rsidRDefault="00000000" w:rsidRPr="00000000" w14:paraId="0000012F">
      <w:pPr>
        <w:ind w:firstLine="284"/>
        <w:rPr>
          <w:vertAlign w:val="baseline"/>
        </w:rPr>
      </w:pPr>
      <w:r w:rsidDel="00000000" w:rsidR="00000000" w:rsidRPr="00000000">
        <w:rPr>
          <w:rtl w:val="0"/>
        </w:rPr>
      </w:r>
    </w:p>
    <w:p w:rsidR="00000000" w:rsidDel="00000000" w:rsidP="00000000" w:rsidRDefault="00000000" w:rsidRPr="00000000" w14:paraId="00000130">
      <w:pPr>
        <w:jc w:val="center"/>
        <w:rPr>
          <w:b w:val="0"/>
          <w:i w:val="0"/>
          <w:vertAlign w:val="baseline"/>
        </w:rPr>
      </w:pPr>
      <w:r w:rsidDel="00000000" w:rsidR="00000000" w:rsidRPr="00000000">
        <w:rPr>
          <w:b w:val="1"/>
          <w:i w:val="1"/>
          <w:vertAlign w:val="baseline"/>
          <w:rtl w:val="0"/>
        </w:rPr>
        <w:t xml:space="preserve">Bảng 7. Tổng hợp liều vào thân não của các nhóm</w:t>
      </w:r>
      <w:r w:rsidDel="00000000" w:rsidR="00000000" w:rsidRPr="00000000">
        <w:rPr>
          <w:rtl w:val="0"/>
        </w:rPr>
      </w:r>
    </w:p>
    <w:tbl>
      <w:tblPr>
        <w:tblStyle w:val="Table7"/>
        <w:tblW w:w="10890.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6"/>
        <w:gridCol w:w="952"/>
        <w:gridCol w:w="952"/>
        <w:gridCol w:w="1350"/>
        <w:gridCol w:w="1440"/>
        <w:gridCol w:w="990"/>
        <w:gridCol w:w="1350"/>
        <w:gridCol w:w="1350"/>
        <w:gridCol w:w="1080"/>
        <w:tblGridChange w:id="0">
          <w:tblGrid>
            <w:gridCol w:w="1426"/>
            <w:gridCol w:w="952"/>
            <w:gridCol w:w="952"/>
            <w:gridCol w:w="1350"/>
            <w:gridCol w:w="1440"/>
            <w:gridCol w:w="990"/>
            <w:gridCol w:w="1350"/>
            <w:gridCol w:w="1350"/>
            <w:gridCol w:w="1080"/>
          </w:tblGrid>
        </w:tblGridChange>
      </w:tblGrid>
      <w:tr>
        <w:trPr>
          <w:cantSplit w:val="1"/>
          <w:tblHeader w:val="0"/>
        </w:trPr>
        <w:tc>
          <w:tcPr>
            <w:vMerge w:val="restart"/>
            <w:vAlign w:val="center"/>
          </w:tcPr>
          <w:p w:rsidR="00000000" w:rsidDel="00000000" w:rsidP="00000000" w:rsidRDefault="00000000" w:rsidRPr="00000000" w14:paraId="00000131">
            <w:pPr>
              <w:jc w:val="center"/>
              <w:rPr>
                <w:b w:val="0"/>
                <w:vertAlign w:val="baseline"/>
              </w:rPr>
            </w:pPr>
            <w:r w:rsidDel="00000000" w:rsidR="00000000" w:rsidRPr="00000000">
              <w:rPr>
                <w:b w:val="1"/>
                <w:vertAlign w:val="baseline"/>
                <w:rtl w:val="0"/>
              </w:rPr>
              <w:t xml:space="preserve">Tiêu chuẩn</w:t>
            </w:r>
            <w:r w:rsidDel="00000000" w:rsidR="00000000" w:rsidRPr="00000000">
              <w:rPr>
                <w:rtl w:val="0"/>
              </w:rPr>
            </w:r>
          </w:p>
          <w:p w:rsidR="00000000" w:rsidDel="00000000" w:rsidP="00000000" w:rsidRDefault="00000000" w:rsidRPr="00000000" w14:paraId="00000132">
            <w:pPr>
              <w:jc w:val="center"/>
              <w:rPr>
                <w:b w:val="0"/>
                <w:vertAlign w:val="baseline"/>
              </w:rPr>
            </w:pPr>
            <w:r w:rsidDel="00000000" w:rsidR="00000000" w:rsidRPr="00000000">
              <w:rPr>
                <w:b w:val="1"/>
                <w:vertAlign w:val="baseline"/>
                <w:rtl w:val="0"/>
              </w:rPr>
              <w:t xml:space="preserve">(Dmax)</w:t>
            </w:r>
            <w:r w:rsidDel="00000000" w:rsidR="00000000" w:rsidRPr="00000000">
              <w:rPr>
                <w:rtl w:val="0"/>
              </w:rPr>
            </w:r>
          </w:p>
        </w:tc>
        <w:tc>
          <w:tcPr>
            <w:gridSpan w:val="2"/>
            <w:vAlign w:val="center"/>
          </w:tcPr>
          <w:p w:rsidR="00000000" w:rsidDel="00000000" w:rsidP="00000000" w:rsidRDefault="00000000" w:rsidRPr="00000000" w14:paraId="00000133">
            <w:pPr>
              <w:jc w:val="center"/>
              <w:rPr>
                <w:vertAlign w:val="baseline"/>
              </w:rPr>
            </w:pPr>
            <w:r w:rsidDel="00000000" w:rsidR="00000000" w:rsidRPr="00000000">
              <w:rPr>
                <w:b w:val="1"/>
                <w:vertAlign w:val="baseline"/>
                <w:rtl w:val="0"/>
              </w:rPr>
              <w:t xml:space="preserve">PTV &lt; 2 cm</w:t>
            </w:r>
            <w:r w:rsidDel="00000000" w:rsidR="00000000" w:rsidRPr="00000000">
              <w:rPr>
                <w:b w:val="1"/>
                <w:vertAlign w:val="superscript"/>
                <w:rtl w:val="0"/>
              </w:rPr>
              <w:t xml:space="preserve">3</w:t>
            </w:r>
            <w:r w:rsidDel="00000000" w:rsidR="00000000" w:rsidRPr="00000000">
              <w:rPr>
                <w:rtl w:val="0"/>
              </w:rPr>
            </w:r>
          </w:p>
        </w:tc>
        <w:tc>
          <w:tcPr>
            <w:gridSpan w:val="3"/>
            <w:vAlign w:val="center"/>
          </w:tcPr>
          <w:p w:rsidR="00000000" w:rsidDel="00000000" w:rsidP="00000000" w:rsidRDefault="00000000" w:rsidRPr="00000000" w14:paraId="00000135">
            <w:pPr>
              <w:jc w:val="center"/>
              <w:rPr>
                <w:vertAlign w:val="baseline"/>
              </w:rPr>
            </w:pPr>
            <w:r w:rsidDel="00000000" w:rsidR="00000000" w:rsidRPr="00000000">
              <w:rPr>
                <w:b w:val="1"/>
                <w:vertAlign w:val="baseline"/>
                <w:rtl w:val="0"/>
              </w:rPr>
              <w:t xml:space="preserve">2 cm</w:t>
            </w:r>
            <w:r w:rsidDel="00000000" w:rsidR="00000000" w:rsidRPr="00000000">
              <w:rPr>
                <w:b w:val="1"/>
                <w:vertAlign w:val="superscript"/>
                <w:rtl w:val="0"/>
              </w:rPr>
              <w:t xml:space="preserve">3</w:t>
            </w:r>
            <w:r w:rsidDel="00000000" w:rsidR="00000000" w:rsidRPr="00000000">
              <w:rPr>
                <w:rFonts w:ascii="Gungsuh" w:cs="Gungsuh" w:eastAsia="Gungsuh" w:hAnsi="Gungsuh"/>
                <w:b w:val="1"/>
                <w:vertAlign w:val="baseline"/>
                <w:rtl w:val="0"/>
              </w:rPr>
              <w:t xml:space="preserve"> ≤ PTV ≤ 10 cm</w:t>
            </w:r>
            <w:r w:rsidDel="00000000" w:rsidR="00000000" w:rsidRPr="00000000">
              <w:rPr>
                <w:b w:val="1"/>
                <w:vertAlign w:val="superscript"/>
                <w:rtl w:val="0"/>
              </w:rPr>
              <w:t xml:space="preserve">3</w:t>
            </w:r>
            <w:r w:rsidDel="00000000" w:rsidR="00000000" w:rsidRPr="00000000">
              <w:rPr>
                <w:rtl w:val="0"/>
              </w:rPr>
            </w:r>
          </w:p>
        </w:tc>
        <w:tc>
          <w:tcPr>
            <w:gridSpan w:val="3"/>
            <w:vAlign w:val="center"/>
          </w:tcPr>
          <w:p w:rsidR="00000000" w:rsidDel="00000000" w:rsidP="00000000" w:rsidRDefault="00000000" w:rsidRPr="00000000" w14:paraId="00000138">
            <w:pPr>
              <w:jc w:val="center"/>
              <w:rPr>
                <w:b w:val="0"/>
                <w:vertAlign w:val="baseline"/>
              </w:rPr>
            </w:pPr>
            <w:r w:rsidDel="00000000" w:rsidR="00000000" w:rsidRPr="00000000">
              <w:rPr>
                <w:b w:val="1"/>
                <w:vertAlign w:val="baseline"/>
                <w:rtl w:val="0"/>
              </w:rPr>
              <w:t xml:space="preserve">PTV &gt; 10 cm</w:t>
            </w:r>
            <w:r w:rsidDel="00000000" w:rsidR="00000000" w:rsidRPr="00000000">
              <w:rPr>
                <w:b w:val="1"/>
                <w:vertAlign w:val="superscript"/>
                <w:rtl w:val="0"/>
              </w:rPr>
              <w:t xml:space="preserve">3</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c>
        <w:tc>
          <w:tcPr>
            <w:vAlign w:val="center"/>
          </w:tcPr>
          <w:p w:rsidR="00000000" w:rsidDel="00000000" w:rsidP="00000000" w:rsidRDefault="00000000" w:rsidRPr="00000000" w14:paraId="0000013C">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13D">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13E">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13F">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140">
            <w:pPr>
              <w:jc w:val="center"/>
              <w:rPr>
                <w:b w:val="0"/>
                <w:vertAlign w:val="baseline"/>
              </w:rPr>
            </w:pPr>
            <w:r w:rsidDel="00000000" w:rsidR="00000000" w:rsidRPr="00000000">
              <w:rPr>
                <w:b w:val="1"/>
                <w:vertAlign w:val="baseline"/>
                <w:rtl w:val="0"/>
              </w:rPr>
              <w:t xml:space="preserve">Giá trị p</w:t>
            </w:r>
            <w:r w:rsidDel="00000000" w:rsidR="00000000" w:rsidRPr="00000000">
              <w:rPr>
                <w:rtl w:val="0"/>
              </w:rPr>
            </w:r>
          </w:p>
        </w:tc>
        <w:tc>
          <w:tcPr>
            <w:vAlign w:val="center"/>
          </w:tcPr>
          <w:p w:rsidR="00000000" w:rsidDel="00000000" w:rsidP="00000000" w:rsidRDefault="00000000" w:rsidRPr="00000000" w14:paraId="00000141">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142">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143">
            <w:pPr>
              <w:jc w:val="center"/>
              <w:rPr>
                <w:b w:val="0"/>
                <w:vertAlign w:val="baseline"/>
              </w:rPr>
            </w:pPr>
            <w:r w:rsidDel="00000000" w:rsidR="00000000" w:rsidRPr="00000000">
              <w:rPr>
                <w:b w:val="1"/>
                <w:vertAlign w:val="baseline"/>
                <w:rtl w:val="0"/>
              </w:rPr>
              <w:t xml:space="preserve">Giá trị 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4">
            <w:pPr>
              <w:jc w:val="center"/>
              <w:rPr>
                <w:b w:val="0"/>
                <w:vertAlign w:val="baseline"/>
              </w:rPr>
            </w:pPr>
            <w:r w:rsidDel="00000000" w:rsidR="00000000" w:rsidRPr="00000000">
              <w:rPr>
                <w:b w:val="1"/>
                <w:vertAlign w:val="baseline"/>
                <w:rtl w:val="0"/>
              </w:rPr>
              <w:t xml:space="preserve">&lt; 17Gy</w:t>
            </w:r>
            <w:r w:rsidDel="00000000" w:rsidR="00000000" w:rsidRPr="00000000">
              <w:rPr>
                <w:rtl w:val="0"/>
              </w:rPr>
            </w:r>
          </w:p>
        </w:tc>
        <w:tc>
          <w:tcPr>
            <w:vAlign w:val="center"/>
          </w:tcPr>
          <w:p w:rsidR="00000000" w:rsidDel="00000000" w:rsidP="00000000" w:rsidRDefault="00000000" w:rsidRPr="00000000" w14:paraId="00000145">
            <w:pPr>
              <w:jc w:val="center"/>
              <w:rPr>
                <w:vertAlign w:val="baseline"/>
              </w:rPr>
            </w:pPr>
            <w:r w:rsidDel="00000000" w:rsidR="00000000" w:rsidRPr="00000000">
              <w:rPr>
                <w:vertAlign w:val="baseline"/>
                <w:rtl w:val="0"/>
              </w:rPr>
              <w:t xml:space="preserve">0,51</w:t>
            </w:r>
          </w:p>
        </w:tc>
        <w:tc>
          <w:tcPr>
            <w:vAlign w:val="center"/>
          </w:tcPr>
          <w:p w:rsidR="00000000" w:rsidDel="00000000" w:rsidP="00000000" w:rsidRDefault="00000000" w:rsidRPr="00000000" w14:paraId="00000146">
            <w:pPr>
              <w:jc w:val="center"/>
              <w:rPr>
                <w:vertAlign w:val="baseline"/>
              </w:rPr>
            </w:pPr>
            <w:r w:rsidDel="00000000" w:rsidR="00000000" w:rsidRPr="00000000">
              <w:rPr>
                <w:vertAlign w:val="baseline"/>
                <w:rtl w:val="0"/>
              </w:rPr>
              <w:t xml:space="preserve">0,47</w:t>
            </w:r>
          </w:p>
        </w:tc>
        <w:tc>
          <w:tcPr>
            <w:vAlign w:val="center"/>
          </w:tcPr>
          <w:p w:rsidR="00000000" w:rsidDel="00000000" w:rsidP="00000000" w:rsidRDefault="00000000" w:rsidRPr="00000000" w14:paraId="00000147">
            <w:pPr>
              <w:jc w:val="center"/>
              <w:rPr>
                <w:vertAlign w:val="baseline"/>
              </w:rPr>
            </w:pPr>
            <w:r w:rsidDel="00000000" w:rsidR="00000000" w:rsidRPr="00000000">
              <w:rPr>
                <w:vertAlign w:val="baseline"/>
                <w:rtl w:val="0"/>
              </w:rPr>
              <w:t xml:space="preserve">4,17 ± 1,28</w:t>
            </w:r>
          </w:p>
        </w:tc>
        <w:tc>
          <w:tcPr>
            <w:vAlign w:val="center"/>
          </w:tcPr>
          <w:p w:rsidR="00000000" w:rsidDel="00000000" w:rsidP="00000000" w:rsidRDefault="00000000" w:rsidRPr="00000000" w14:paraId="00000148">
            <w:pPr>
              <w:jc w:val="center"/>
              <w:rPr>
                <w:vertAlign w:val="baseline"/>
              </w:rPr>
            </w:pPr>
            <w:r w:rsidDel="00000000" w:rsidR="00000000" w:rsidRPr="00000000">
              <w:rPr>
                <w:vertAlign w:val="baseline"/>
                <w:rtl w:val="0"/>
              </w:rPr>
              <w:t xml:space="preserve">3,84 ± 1,03</w:t>
            </w:r>
          </w:p>
        </w:tc>
        <w:tc>
          <w:tcPr>
            <w:vAlign w:val="center"/>
          </w:tcPr>
          <w:p w:rsidR="00000000" w:rsidDel="00000000" w:rsidP="00000000" w:rsidRDefault="00000000" w:rsidRPr="00000000" w14:paraId="00000149">
            <w:pPr>
              <w:jc w:val="center"/>
              <w:rPr>
                <w:vertAlign w:val="baseline"/>
              </w:rPr>
            </w:pPr>
            <w:r w:rsidDel="00000000" w:rsidR="00000000" w:rsidRPr="00000000">
              <w:rPr>
                <w:vertAlign w:val="baseline"/>
                <w:rtl w:val="0"/>
              </w:rPr>
              <w:t xml:space="preserve">0,411</w:t>
            </w:r>
          </w:p>
        </w:tc>
        <w:tc>
          <w:tcPr>
            <w:vAlign w:val="center"/>
          </w:tcPr>
          <w:p w:rsidR="00000000" w:rsidDel="00000000" w:rsidP="00000000" w:rsidRDefault="00000000" w:rsidRPr="00000000" w14:paraId="0000014A">
            <w:pPr>
              <w:jc w:val="center"/>
              <w:rPr>
                <w:vertAlign w:val="baseline"/>
              </w:rPr>
            </w:pPr>
            <w:r w:rsidDel="00000000" w:rsidR="00000000" w:rsidRPr="00000000">
              <w:rPr>
                <w:vertAlign w:val="baseline"/>
                <w:rtl w:val="0"/>
              </w:rPr>
              <w:t xml:space="preserve">2,87 ± 0,78</w:t>
            </w:r>
          </w:p>
        </w:tc>
        <w:tc>
          <w:tcPr>
            <w:vAlign w:val="center"/>
          </w:tcPr>
          <w:p w:rsidR="00000000" w:rsidDel="00000000" w:rsidP="00000000" w:rsidRDefault="00000000" w:rsidRPr="00000000" w14:paraId="0000014B">
            <w:pPr>
              <w:jc w:val="center"/>
              <w:rPr>
                <w:vertAlign w:val="baseline"/>
              </w:rPr>
            </w:pPr>
            <w:r w:rsidDel="00000000" w:rsidR="00000000" w:rsidRPr="00000000">
              <w:rPr>
                <w:vertAlign w:val="baseline"/>
                <w:rtl w:val="0"/>
              </w:rPr>
              <w:t xml:space="preserve">2,52 ± 0,61</w:t>
            </w:r>
          </w:p>
        </w:tc>
        <w:tc>
          <w:tcPr>
            <w:vAlign w:val="center"/>
          </w:tcPr>
          <w:p w:rsidR="00000000" w:rsidDel="00000000" w:rsidP="00000000" w:rsidRDefault="00000000" w:rsidRPr="00000000" w14:paraId="0000014C">
            <w:pPr>
              <w:jc w:val="center"/>
              <w:rPr>
                <w:vertAlign w:val="baseline"/>
              </w:rPr>
            </w:pPr>
            <w:r w:rsidDel="00000000" w:rsidR="00000000" w:rsidRPr="00000000">
              <w:rPr>
                <w:vertAlign w:val="baseline"/>
                <w:rtl w:val="0"/>
              </w:rPr>
              <w:t xml:space="preserve">0,198</w:t>
            </w:r>
          </w:p>
        </w:tc>
      </w:tr>
    </w:tbl>
    <w:p w:rsidR="00000000" w:rsidDel="00000000" w:rsidP="00000000" w:rsidRDefault="00000000" w:rsidRPr="00000000" w14:paraId="0000014D">
      <w:pPr>
        <w:ind w:firstLine="284"/>
        <w:rPr>
          <w:vertAlign w:val="baseline"/>
        </w:rPr>
      </w:pPr>
      <w:commentRangeStart w:id="3"/>
      <w:r w:rsidDel="00000000" w:rsidR="00000000" w:rsidRPr="00000000">
        <w:rPr>
          <w:vertAlign w:val="baseline"/>
          <w:rtl w:val="0"/>
        </w:rPr>
        <w:t xml:space="preserve">Liều vào thân não của kế hoạch VMAT giảm nhưng không đáng kể và không có ý nghĩa thống kê so với kế hoạch DCAT</w:t>
      </w:r>
      <w:commentRangeEnd w:id="3"/>
      <w:r w:rsidDel="00000000" w:rsidR="00000000" w:rsidRPr="00000000">
        <w:commentReference w:id="3"/>
      </w:r>
      <w:r w:rsidDel="00000000" w:rsidR="00000000" w:rsidRPr="00000000">
        <w:rPr>
          <w:vertAlign w:val="baseline"/>
          <w:rtl w:val="0"/>
        </w:rPr>
        <w:t xml:space="preserve">.</w:t>
      </w:r>
    </w:p>
    <w:p w:rsidR="00000000" w:rsidDel="00000000" w:rsidP="00000000" w:rsidRDefault="00000000" w:rsidRPr="00000000" w14:paraId="0000014E">
      <w:pPr>
        <w:ind w:firstLine="284"/>
        <w:rPr>
          <w:vertAlign w:val="baseline"/>
        </w:rPr>
      </w:pPr>
      <w:r w:rsidDel="00000000" w:rsidR="00000000" w:rsidRPr="00000000">
        <w:rPr>
          <w:vertAlign w:val="baseline"/>
          <w:rtl w:val="0"/>
        </w:rPr>
        <w:t xml:space="preserve">Số MU mà máy phát tia giữa kế hoạch xạ phẫu sử dụng kỹ thuật DCAT và kế hoạch xạ phẫu sử dụng  kỹ thuật VMAT được trình bày trong bảng 8.</w:t>
      </w:r>
    </w:p>
    <w:p w:rsidR="00000000" w:rsidDel="00000000" w:rsidP="00000000" w:rsidRDefault="00000000" w:rsidRPr="00000000" w14:paraId="0000014F">
      <w:pPr>
        <w:jc w:val="center"/>
        <w:rPr>
          <w:b w:val="0"/>
          <w:i w:val="0"/>
          <w:vertAlign w:val="baseline"/>
        </w:rPr>
      </w:pPr>
      <w:r w:rsidDel="00000000" w:rsidR="00000000" w:rsidRPr="00000000">
        <w:rPr>
          <w:rtl w:val="0"/>
        </w:rPr>
      </w:r>
    </w:p>
    <w:p w:rsidR="00000000" w:rsidDel="00000000" w:rsidP="00000000" w:rsidRDefault="00000000" w:rsidRPr="00000000" w14:paraId="00000150">
      <w:pPr>
        <w:jc w:val="center"/>
        <w:rPr>
          <w:b w:val="0"/>
          <w:i w:val="0"/>
          <w:vertAlign w:val="baseline"/>
        </w:rPr>
      </w:pPr>
      <w:r w:rsidDel="00000000" w:rsidR="00000000" w:rsidRPr="00000000">
        <w:rPr>
          <w:b w:val="1"/>
          <w:i w:val="1"/>
          <w:vertAlign w:val="baseline"/>
          <w:rtl w:val="0"/>
        </w:rPr>
        <w:t xml:space="preserve">Bảng 8. So sánh số MU của các nhóm</w:t>
      </w:r>
      <w:r w:rsidDel="00000000" w:rsidR="00000000" w:rsidRPr="00000000">
        <w:rPr>
          <w:rtl w:val="0"/>
        </w:rPr>
      </w:r>
    </w:p>
    <w:tbl>
      <w:tblPr>
        <w:tblStyle w:val="Table8"/>
        <w:tblW w:w="10890.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9"/>
        <w:gridCol w:w="932"/>
        <w:gridCol w:w="1789"/>
        <w:gridCol w:w="1800"/>
        <w:gridCol w:w="900"/>
        <w:gridCol w:w="1800"/>
        <w:gridCol w:w="1890"/>
        <w:gridCol w:w="900"/>
        <w:tblGridChange w:id="0">
          <w:tblGrid>
            <w:gridCol w:w="879"/>
            <w:gridCol w:w="932"/>
            <w:gridCol w:w="1789"/>
            <w:gridCol w:w="1800"/>
            <w:gridCol w:w="900"/>
            <w:gridCol w:w="1800"/>
            <w:gridCol w:w="1890"/>
            <w:gridCol w:w="900"/>
          </w:tblGrid>
        </w:tblGridChange>
      </w:tblGrid>
      <w:tr>
        <w:trPr>
          <w:cantSplit w:val="0"/>
          <w:tblHeader w:val="0"/>
        </w:trPr>
        <w:tc>
          <w:tcPr>
            <w:gridSpan w:val="2"/>
            <w:vAlign w:val="center"/>
          </w:tcPr>
          <w:p w:rsidR="00000000" w:rsidDel="00000000" w:rsidP="00000000" w:rsidRDefault="00000000" w:rsidRPr="00000000" w14:paraId="00000151">
            <w:pPr>
              <w:jc w:val="center"/>
              <w:rPr>
                <w:vertAlign w:val="baseline"/>
              </w:rPr>
            </w:pPr>
            <w:r w:rsidDel="00000000" w:rsidR="00000000" w:rsidRPr="00000000">
              <w:rPr>
                <w:b w:val="1"/>
                <w:vertAlign w:val="baseline"/>
                <w:rtl w:val="0"/>
              </w:rPr>
              <w:t xml:space="preserve">PTV &lt; 2 cm</w:t>
            </w:r>
            <w:r w:rsidDel="00000000" w:rsidR="00000000" w:rsidRPr="00000000">
              <w:rPr>
                <w:b w:val="1"/>
                <w:vertAlign w:val="superscript"/>
                <w:rtl w:val="0"/>
              </w:rPr>
              <w:t xml:space="preserve">3</w:t>
            </w:r>
            <w:r w:rsidDel="00000000" w:rsidR="00000000" w:rsidRPr="00000000">
              <w:rPr>
                <w:rtl w:val="0"/>
              </w:rPr>
            </w:r>
          </w:p>
        </w:tc>
        <w:tc>
          <w:tcPr>
            <w:gridSpan w:val="3"/>
            <w:vAlign w:val="center"/>
          </w:tcPr>
          <w:p w:rsidR="00000000" w:rsidDel="00000000" w:rsidP="00000000" w:rsidRDefault="00000000" w:rsidRPr="00000000" w14:paraId="00000153">
            <w:pPr>
              <w:jc w:val="center"/>
              <w:rPr>
                <w:vertAlign w:val="baseline"/>
              </w:rPr>
            </w:pPr>
            <w:r w:rsidDel="00000000" w:rsidR="00000000" w:rsidRPr="00000000">
              <w:rPr>
                <w:b w:val="1"/>
                <w:vertAlign w:val="baseline"/>
                <w:rtl w:val="0"/>
              </w:rPr>
              <w:t xml:space="preserve">2 cm</w:t>
            </w:r>
            <w:r w:rsidDel="00000000" w:rsidR="00000000" w:rsidRPr="00000000">
              <w:rPr>
                <w:b w:val="1"/>
                <w:vertAlign w:val="superscript"/>
                <w:rtl w:val="0"/>
              </w:rPr>
              <w:t xml:space="preserve">3</w:t>
            </w:r>
            <w:r w:rsidDel="00000000" w:rsidR="00000000" w:rsidRPr="00000000">
              <w:rPr>
                <w:rFonts w:ascii="Gungsuh" w:cs="Gungsuh" w:eastAsia="Gungsuh" w:hAnsi="Gungsuh"/>
                <w:b w:val="1"/>
                <w:vertAlign w:val="baseline"/>
                <w:rtl w:val="0"/>
              </w:rPr>
              <w:t xml:space="preserve"> ≤ PTV ≤ 10 cm</w:t>
            </w:r>
            <w:r w:rsidDel="00000000" w:rsidR="00000000" w:rsidRPr="00000000">
              <w:rPr>
                <w:b w:val="1"/>
                <w:vertAlign w:val="superscript"/>
                <w:rtl w:val="0"/>
              </w:rPr>
              <w:t xml:space="preserve">3</w:t>
            </w:r>
            <w:r w:rsidDel="00000000" w:rsidR="00000000" w:rsidRPr="00000000">
              <w:rPr>
                <w:rtl w:val="0"/>
              </w:rPr>
            </w:r>
          </w:p>
        </w:tc>
        <w:tc>
          <w:tcPr>
            <w:gridSpan w:val="3"/>
            <w:vAlign w:val="center"/>
          </w:tcPr>
          <w:p w:rsidR="00000000" w:rsidDel="00000000" w:rsidP="00000000" w:rsidRDefault="00000000" w:rsidRPr="00000000" w14:paraId="00000156">
            <w:pPr>
              <w:jc w:val="center"/>
              <w:rPr>
                <w:vertAlign w:val="baseline"/>
              </w:rPr>
            </w:pPr>
            <w:r w:rsidDel="00000000" w:rsidR="00000000" w:rsidRPr="00000000">
              <w:rPr>
                <w:b w:val="1"/>
                <w:vertAlign w:val="baseline"/>
                <w:rtl w:val="0"/>
              </w:rPr>
              <w:t xml:space="preserve">PTV &gt; 10 cm</w:t>
            </w:r>
            <w:r w:rsidDel="00000000" w:rsidR="00000000" w:rsidRPr="00000000">
              <w:rPr>
                <w:b w:val="1"/>
                <w:vertAlign w:val="superscript"/>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9">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15A">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15B">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15C">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15D">
            <w:pPr>
              <w:jc w:val="center"/>
              <w:rPr>
                <w:b w:val="0"/>
                <w:vertAlign w:val="baseline"/>
              </w:rPr>
            </w:pPr>
            <w:r w:rsidDel="00000000" w:rsidR="00000000" w:rsidRPr="00000000">
              <w:rPr>
                <w:b w:val="1"/>
                <w:vertAlign w:val="baseline"/>
                <w:rtl w:val="0"/>
              </w:rPr>
              <w:t xml:space="preserve">Giá trị p</w:t>
            </w:r>
            <w:r w:rsidDel="00000000" w:rsidR="00000000" w:rsidRPr="00000000">
              <w:rPr>
                <w:rtl w:val="0"/>
              </w:rPr>
            </w:r>
          </w:p>
        </w:tc>
        <w:tc>
          <w:tcPr>
            <w:vAlign w:val="center"/>
          </w:tcPr>
          <w:p w:rsidR="00000000" w:rsidDel="00000000" w:rsidP="00000000" w:rsidRDefault="00000000" w:rsidRPr="00000000" w14:paraId="0000015E">
            <w:pPr>
              <w:jc w:val="center"/>
              <w:rPr>
                <w:b w:val="0"/>
                <w:vertAlign w:val="baseline"/>
              </w:rPr>
            </w:pPr>
            <w:r w:rsidDel="00000000" w:rsidR="00000000" w:rsidRPr="00000000">
              <w:rPr>
                <w:b w:val="1"/>
                <w:vertAlign w:val="baseline"/>
                <w:rtl w:val="0"/>
              </w:rPr>
              <w:t xml:space="preserve">DCAT</w:t>
            </w:r>
            <w:r w:rsidDel="00000000" w:rsidR="00000000" w:rsidRPr="00000000">
              <w:rPr>
                <w:rtl w:val="0"/>
              </w:rPr>
            </w:r>
          </w:p>
        </w:tc>
        <w:tc>
          <w:tcPr>
            <w:vAlign w:val="center"/>
          </w:tcPr>
          <w:p w:rsidR="00000000" w:rsidDel="00000000" w:rsidP="00000000" w:rsidRDefault="00000000" w:rsidRPr="00000000" w14:paraId="0000015F">
            <w:pPr>
              <w:jc w:val="center"/>
              <w:rPr>
                <w:b w:val="0"/>
                <w:vertAlign w:val="baseline"/>
              </w:rPr>
            </w:pPr>
            <w:r w:rsidDel="00000000" w:rsidR="00000000" w:rsidRPr="00000000">
              <w:rPr>
                <w:b w:val="1"/>
                <w:vertAlign w:val="baseline"/>
                <w:rtl w:val="0"/>
              </w:rPr>
              <w:t xml:space="preserve">VMAT</w:t>
            </w:r>
            <w:r w:rsidDel="00000000" w:rsidR="00000000" w:rsidRPr="00000000">
              <w:rPr>
                <w:rtl w:val="0"/>
              </w:rPr>
            </w:r>
          </w:p>
        </w:tc>
        <w:tc>
          <w:tcPr>
            <w:vAlign w:val="center"/>
          </w:tcPr>
          <w:p w:rsidR="00000000" w:rsidDel="00000000" w:rsidP="00000000" w:rsidRDefault="00000000" w:rsidRPr="00000000" w14:paraId="00000160">
            <w:pPr>
              <w:jc w:val="center"/>
              <w:rPr>
                <w:b w:val="0"/>
                <w:vertAlign w:val="baseline"/>
              </w:rPr>
            </w:pPr>
            <w:r w:rsidDel="00000000" w:rsidR="00000000" w:rsidRPr="00000000">
              <w:rPr>
                <w:b w:val="1"/>
                <w:vertAlign w:val="baseline"/>
                <w:rtl w:val="0"/>
              </w:rPr>
              <w:t xml:space="preserve">Giá trị 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1">
            <w:pPr>
              <w:jc w:val="center"/>
              <w:rPr>
                <w:vertAlign w:val="baseline"/>
              </w:rPr>
            </w:pPr>
            <w:r w:rsidDel="00000000" w:rsidR="00000000" w:rsidRPr="00000000">
              <w:rPr>
                <w:vertAlign w:val="baseline"/>
                <w:rtl w:val="0"/>
              </w:rPr>
              <w:t xml:space="preserve">1631</w:t>
            </w:r>
          </w:p>
        </w:tc>
        <w:tc>
          <w:tcPr>
            <w:vAlign w:val="center"/>
          </w:tcPr>
          <w:p w:rsidR="00000000" w:rsidDel="00000000" w:rsidP="00000000" w:rsidRDefault="00000000" w:rsidRPr="00000000" w14:paraId="00000162">
            <w:pPr>
              <w:jc w:val="center"/>
              <w:rPr>
                <w:vertAlign w:val="baseline"/>
              </w:rPr>
            </w:pPr>
            <w:r w:rsidDel="00000000" w:rsidR="00000000" w:rsidRPr="00000000">
              <w:rPr>
                <w:vertAlign w:val="baseline"/>
                <w:rtl w:val="0"/>
              </w:rPr>
              <w:t xml:space="preserve">2714,3</w:t>
            </w:r>
          </w:p>
        </w:tc>
        <w:tc>
          <w:tcPr>
            <w:vAlign w:val="center"/>
          </w:tcPr>
          <w:p w:rsidR="00000000" w:rsidDel="00000000" w:rsidP="00000000" w:rsidRDefault="00000000" w:rsidRPr="00000000" w14:paraId="00000163">
            <w:pPr>
              <w:jc w:val="center"/>
              <w:rPr>
                <w:vertAlign w:val="baseline"/>
              </w:rPr>
            </w:pPr>
            <w:r w:rsidDel="00000000" w:rsidR="00000000" w:rsidRPr="00000000">
              <w:rPr>
                <w:vertAlign w:val="baseline"/>
                <w:rtl w:val="0"/>
              </w:rPr>
              <w:t xml:space="preserve">1536,94 ± 31,88</w:t>
            </w:r>
          </w:p>
        </w:tc>
        <w:tc>
          <w:tcPr>
            <w:vAlign w:val="center"/>
          </w:tcPr>
          <w:p w:rsidR="00000000" w:rsidDel="00000000" w:rsidP="00000000" w:rsidRDefault="00000000" w:rsidRPr="00000000" w14:paraId="00000164">
            <w:pPr>
              <w:jc w:val="center"/>
              <w:rPr>
                <w:vertAlign w:val="baseline"/>
              </w:rPr>
            </w:pPr>
            <w:r w:rsidDel="00000000" w:rsidR="00000000" w:rsidRPr="00000000">
              <w:rPr>
                <w:vertAlign w:val="baseline"/>
                <w:rtl w:val="0"/>
              </w:rPr>
              <w:t xml:space="preserve">3048,69 ± 99,44</w:t>
            </w:r>
          </w:p>
        </w:tc>
        <w:tc>
          <w:tcPr>
            <w:vAlign w:val="center"/>
          </w:tcPr>
          <w:p w:rsidR="00000000" w:rsidDel="00000000" w:rsidP="00000000" w:rsidRDefault="00000000" w:rsidRPr="00000000" w14:paraId="00000165">
            <w:pPr>
              <w:jc w:val="center"/>
              <w:rPr>
                <w:vertAlign w:val="baseline"/>
              </w:rPr>
            </w:pPr>
            <w:r w:rsidDel="00000000" w:rsidR="00000000" w:rsidRPr="00000000">
              <w:rPr>
                <w:vertAlign w:val="baseline"/>
                <w:rtl w:val="0"/>
              </w:rPr>
              <w:t xml:space="preserve">&lt;0,001</w:t>
            </w:r>
          </w:p>
        </w:tc>
        <w:tc>
          <w:tcPr>
            <w:vAlign w:val="center"/>
          </w:tcPr>
          <w:p w:rsidR="00000000" w:rsidDel="00000000" w:rsidP="00000000" w:rsidRDefault="00000000" w:rsidRPr="00000000" w14:paraId="00000166">
            <w:pPr>
              <w:jc w:val="center"/>
              <w:rPr>
                <w:vertAlign w:val="baseline"/>
              </w:rPr>
            </w:pPr>
            <w:r w:rsidDel="00000000" w:rsidR="00000000" w:rsidRPr="00000000">
              <w:rPr>
                <w:vertAlign w:val="baseline"/>
                <w:rtl w:val="0"/>
              </w:rPr>
              <w:t xml:space="preserve">1460,85 ± 16,33</w:t>
            </w:r>
          </w:p>
        </w:tc>
        <w:tc>
          <w:tcPr>
            <w:vAlign w:val="center"/>
          </w:tcPr>
          <w:p w:rsidR="00000000" w:rsidDel="00000000" w:rsidP="00000000" w:rsidRDefault="00000000" w:rsidRPr="00000000" w14:paraId="00000167">
            <w:pPr>
              <w:jc w:val="center"/>
              <w:rPr>
                <w:vertAlign w:val="baseline"/>
              </w:rPr>
            </w:pPr>
            <w:r w:rsidDel="00000000" w:rsidR="00000000" w:rsidRPr="00000000">
              <w:rPr>
                <w:vertAlign w:val="baseline"/>
                <w:rtl w:val="0"/>
              </w:rPr>
              <w:t xml:space="preserve">2943,34 ± 53,08</w:t>
            </w:r>
          </w:p>
        </w:tc>
        <w:tc>
          <w:tcPr>
            <w:vAlign w:val="center"/>
          </w:tcPr>
          <w:p w:rsidR="00000000" w:rsidDel="00000000" w:rsidP="00000000" w:rsidRDefault="00000000" w:rsidRPr="00000000" w14:paraId="00000168">
            <w:pPr>
              <w:jc w:val="center"/>
              <w:rPr>
                <w:vertAlign w:val="baseline"/>
              </w:rPr>
            </w:pPr>
            <w:r w:rsidDel="00000000" w:rsidR="00000000" w:rsidRPr="00000000">
              <w:rPr>
                <w:vertAlign w:val="baseline"/>
                <w:rtl w:val="0"/>
              </w:rPr>
              <w:t xml:space="preserve">&lt;0,001</w:t>
            </w:r>
          </w:p>
        </w:tc>
      </w:tr>
    </w:tbl>
    <w:p w:rsidR="00000000" w:rsidDel="00000000" w:rsidP="00000000" w:rsidRDefault="00000000" w:rsidRPr="00000000" w14:paraId="00000169">
      <w:pPr>
        <w:ind w:firstLine="360"/>
        <w:rPr>
          <w:vertAlign w:val="baseline"/>
        </w:rPr>
      </w:pPr>
      <w:r w:rsidDel="00000000" w:rsidR="00000000" w:rsidRPr="00000000">
        <w:rPr>
          <w:vertAlign w:val="baseline"/>
          <w:rtl w:val="0"/>
        </w:rPr>
        <w:t xml:space="preserve">Từ bảng 8, ta thấy giá trị </w:t>
      </w:r>
      <w:commentRangeStart w:id="4"/>
      <w:commentRangeStart w:id="5"/>
      <w:r w:rsidDel="00000000" w:rsidR="00000000" w:rsidRPr="00000000">
        <w:rPr>
          <w:vertAlign w:val="baseline"/>
          <w:rtl w:val="0"/>
        </w:rPr>
        <w:t xml:space="preserve">trung bình chỉ số MU của kế hoạch VMAT lớn hơn 2 lần so với kế hoạch DCAT và có ý nghĩa thống kê</w:t>
      </w:r>
      <w:commentRangeEnd w:id="4"/>
      <w:r w:rsidDel="00000000" w:rsidR="00000000" w:rsidRPr="00000000">
        <w:commentReference w:id="4"/>
      </w:r>
      <w:commentRangeEnd w:id="5"/>
      <w:r w:rsidDel="00000000" w:rsidR="00000000" w:rsidRPr="00000000">
        <w:commentReference w:id="5"/>
      </w:r>
      <w:r w:rsidDel="00000000" w:rsidR="00000000" w:rsidRPr="00000000">
        <w:rPr>
          <w:vertAlign w:val="baseline"/>
          <w:rtl w:val="0"/>
        </w:rPr>
        <w:t xml:space="preserve">. Do thời gian phát tia tỉ lệ tuyến tính với chỉ số MU nên thời gian phát tia của kế hoạch VMAT cũng lớn gấp đôi so với kế hoạch DCAT.</w:t>
      </w:r>
    </w:p>
    <w:p w:rsidR="00000000" w:rsidDel="00000000" w:rsidP="00000000" w:rsidRDefault="00000000" w:rsidRPr="00000000" w14:paraId="0000016A">
      <w:pPr>
        <w:rPr>
          <w:vertAlign w:val="baseline"/>
        </w:rPr>
      </w:pPr>
      <w:r w:rsidDel="00000000" w:rsidR="00000000" w:rsidRPr="00000000">
        <w:rPr>
          <w:rtl w:val="0"/>
        </w:rPr>
      </w:r>
    </w:p>
    <w:p w:rsidR="00000000" w:rsidDel="00000000" w:rsidP="00000000" w:rsidRDefault="00000000" w:rsidRPr="00000000" w14:paraId="0000016B">
      <w:pPr>
        <w:rPr>
          <w:b w:val="0"/>
          <w:vertAlign w:val="baseline"/>
        </w:rPr>
      </w:pPr>
      <w:r w:rsidDel="00000000" w:rsidR="00000000" w:rsidRPr="00000000">
        <w:rPr>
          <w:b w:val="1"/>
          <w:vertAlign w:val="baseline"/>
          <w:rtl w:val="0"/>
        </w:rPr>
        <w:t xml:space="preserve">IV. BÀN LUẬN</w:t>
      </w:r>
      <w:r w:rsidDel="00000000" w:rsidR="00000000" w:rsidRPr="00000000">
        <w:rPr>
          <w:rtl w:val="0"/>
        </w:rPr>
      </w:r>
    </w:p>
    <w:p w:rsidR="00000000" w:rsidDel="00000000" w:rsidP="00000000" w:rsidRDefault="00000000" w:rsidRPr="00000000" w14:paraId="0000016C">
      <w:pPr>
        <w:ind w:firstLine="284"/>
        <w:rPr>
          <w:vertAlign w:val="baseline"/>
        </w:rPr>
      </w:pPr>
      <w:r w:rsidDel="00000000" w:rsidR="00000000" w:rsidRPr="00000000">
        <w:rPr>
          <w:vertAlign w:val="baseline"/>
          <w:rtl w:val="0"/>
        </w:rPr>
        <w:t xml:space="preserve">Đối với các kế hoạch VMAT không đạt chuẩn đều là do liều vào 2% PTV vượt quá ngưỡng trên của tiêu chí (&gt; 130% liều chỉ định). Tuy nhiên, </w:t>
      </w:r>
      <w:r w:rsidDel="00000000" w:rsidR="00000000" w:rsidRPr="00000000">
        <w:rPr>
          <w:highlight w:val="red"/>
          <w:vertAlign w:val="baseline"/>
          <w:rtl w:val="0"/>
        </w:rPr>
        <w:t xml:space="preserve">tất cả các kế hoạch VMAT không đạt tiêu chí D2% đều đảm bảo kiểm soát được liều vào PTV và việc bảo vệ cơ quan lành.</w:t>
      </w:r>
      <w:r w:rsidDel="00000000" w:rsidR="00000000" w:rsidRPr="00000000">
        <w:rPr>
          <w:vertAlign w:val="baseline"/>
          <w:rtl w:val="0"/>
        </w:rPr>
        <w:t xml:space="preserve"> Ngoài ra, vùng liều nóng đều nằm trong lõi GTV điều này giúp tăng hiệu quả làm tắc nghẽn và phá vỡ mạch máu gây ra cho khối u. </w:t>
      </w:r>
    </w:p>
    <w:p w:rsidR="00000000" w:rsidDel="00000000" w:rsidP="00000000" w:rsidRDefault="00000000" w:rsidRPr="00000000" w14:paraId="0000016D">
      <w:pPr>
        <w:ind w:firstLine="284"/>
        <w:rPr>
          <w:vertAlign w:val="baseline"/>
        </w:rPr>
      </w:pPr>
      <w:r w:rsidDel="00000000" w:rsidR="00000000" w:rsidRPr="00000000">
        <w:rPr>
          <w:rtl w:val="0"/>
        </w:rPr>
      </w:r>
    </w:p>
    <w:p w:rsidR="00000000" w:rsidDel="00000000" w:rsidP="00000000" w:rsidRDefault="00000000" w:rsidRPr="00000000" w14:paraId="0000016E">
      <w:pPr>
        <w:ind w:firstLine="284"/>
        <w:rPr>
          <w:vertAlign w:val="baseline"/>
        </w:rPr>
      </w:pPr>
      <w:r w:rsidDel="00000000" w:rsidR="00000000" w:rsidRPr="00000000">
        <w:rPr>
          <w:vertAlign w:val="baseline"/>
          <w:rtl w:val="0"/>
        </w:rPr>
        <w:t xml:space="preserve">Các kế hoạch VMAT cho thấy chỉ số CI, CI50 và GI tối ưu hơn so với DCAT, chứng tỏ VMAT kiểm soát và phân bố liều tốt hơn trong nhiều trường hợp. Tuy nhiên, đối với thể tích điều trị nhỏ (&lt; 1cm</w:t>
      </w:r>
      <w:r w:rsidDel="00000000" w:rsidR="00000000" w:rsidRPr="00000000">
        <w:rPr>
          <w:vertAlign w:val="superscript"/>
          <w:rtl w:val="0"/>
        </w:rPr>
        <w:t xml:space="preserve">3</w:t>
      </w:r>
      <w:r w:rsidDel="00000000" w:rsidR="00000000" w:rsidRPr="00000000">
        <w:rPr>
          <w:vertAlign w:val="baseline"/>
          <w:rtl w:val="0"/>
        </w:rPr>
        <w:t xml:space="preserve">) thì kỹ thuật DCAT lại cho các chỉ số CI, CI50, HI và GI đều có giá trị gần giá trị lý tưởng hơn so với kế hoạch VMAT </w:t>
      </w:r>
      <w:r w:rsidDel="00000000" w:rsidR="00000000" w:rsidRPr="00000000">
        <w:rPr>
          <w:highlight w:val="red"/>
          <w:vertAlign w:val="baseline"/>
          <w:rtl w:val="0"/>
        </w:rPr>
        <w:t xml:space="preserve">như được trình bày trong Bảng </w:t>
      </w:r>
      <w:r w:rsidDel="00000000" w:rsidR="00000000" w:rsidRPr="00000000">
        <w:rPr>
          <w:vertAlign w:val="baseline"/>
          <w:rtl w:val="0"/>
        </w:rPr>
        <w:t xml:space="preserve">5. Điều này phù hợp với nghiên cứu của Jan Hofmaier và các cộng sự năm 2019</w:t>
      </w:r>
      <w:r w:rsidDel="00000000" w:rsidR="00000000" w:rsidRPr="00000000">
        <w:rPr>
          <w:vertAlign w:val="superscript"/>
          <w:rtl w:val="0"/>
        </w:rPr>
        <w:t xml:space="preserve">[6]</w:t>
      </w:r>
      <w:r w:rsidDel="00000000" w:rsidR="00000000" w:rsidRPr="00000000">
        <w:rPr>
          <w:vertAlign w:val="baseline"/>
          <w:rtl w:val="0"/>
        </w:rPr>
        <w:t xml:space="preserve">. Hình 2 so sánh mức độ bao phủ của vùng liều 100% trên PTV của kế hoạch DCAT (A) và kế hoạch VMAT (B).</w:t>
      </w:r>
    </w:p>
    <w:p w:rsidR="00000000" w:rsidDel="00000000" w:rsidP="00000000" w:rsidRDefault="00000000" w:rsidRPr="00000000" w14:paraId="0000016F">
      <w:pPr>
        <w:jc w:val="center"/>
        <w:rPr>
          <w:vertAlign w:val="baseline"/>
        </w:rPr>
      </w:pPr>
      <w:r w:rsidDel="00000000" w:rsidR="00000000" w:rsidRPr="00000000">
        <w:rPr>
          <w:vertAlign w:val="baseline"/>
        </w:rPr>
        <w:drawing>
          <wp:inline distB="0" distT="0" distL="114300" distR="114300">
            <wp:extent cx="5307965" cy="2718435"/>
            <wp:effectExtent b="0" l="0" r="0" t="0"/>
            <wp:docPr descr="A close-up of a computer screen&#10;&#10;Description automatically generated" id="6" name="image5.png"/>
            <a:graphic>
              <a:graphicData uri="http://schemas.openxmlformats.org/drawingml/2006/picture">
                <pic:pic>
                  <pic:nvPicPr>
                    <pic:cNvPr descr="A close-up of a computer screen&#10;&#10;Description automatically generated" id="0" name="image5.png"/>
                    <pic:cNvPicPr preferRelativeResize="0"/>
                  </pic:nvPicPr>
                  <pic:blipFill>
                    <a:blip r:embed="rId13"/>
                    <a:srcRect b="0" l="0" r="0" t="0"/>
                    <a:stretch>
                      <a:fillRect/>
                    </a:stretch>
                  </pic:blipFill>
                  <pic:spPr>
                    <a:xfrm>
                      <a:off x="0" y="0"/>
                      <a:ext cx="5307965" cy="2718435"/>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rPr>
          <w:vertAlign w:val="baseline"/>
        </w:rPr>
      </w:pPr>
      <w:r w:rsidDel="00000000" w:rsidR="00000000" w:rsidRPr="00000000">
        <w:rPr>
          <w:rtl w:val="0"/>
        </w:rPr>
      </w:r>
    </w:p>
    <w:p w:rsidR="00000000" w:rsidDel="00000000" w:rsidP="00000000" w:rsidRDefault="00000000" w:rsidRPr="00000000" w14:paraId="00000171">
      <w:pPr>
        <w:jc w:val="center"/>
        <w:rPr>
          <w:b w:val="0"/>
          <w:i w:val="0"/>
          <w:vertAlign w:val="baseline"/>
        </w:rPr>
      </w:pPr>
      <w:r w:rsidDel="00000000" w:rsidR="00000000" w:rsidRPr="00000000">
        <w:rPr>
          <w:b w:val="1"/>
          <w:i w:val="1"/>
          <w:vertAlign w:val="baseline"/>
          <w:rtl w:val="0"/>
        </w:rPr>
        <w:t xml:space="preserve">Hình 2. Liều 100% liều chỉ định bao phủ PTV của kế hoạch DCAT (A) và kế hoạch VMAT (B)</w:t>
      </w:r>
      <w:r w:rsidDel="00000000" w:rsidR="00000000" w:rsidRPr="00000000">
        <w:rPr>
          <w:rtl w:val="0"/>
        </w:rPr>
      </w:r>
    </w:p>
    <w:p w:rsidR="00000000" w:rsidDel="00000000" w:rsidP="00000000" w:rsidRDefault="00000000" w:rsidRPr="00000000" w14:paraId="00000172">
      <w:pPr>
        <w:rPr>
          <w:vertAlign w:val="baseline"/>
        </w:rPr>
      </w:pPr>
      <w:r w:rsidDel="00000000" w:rsidR="00000000" w:rsidRPr="00000000">
        <w:rPr>
          <w:rtl w:val="0"/>
        </w:rPr>
      </w:r>
    </w:p>
    <w:p w:rsidR="00000000" w:rsidDel="00000000" w:rsidP="00000000" w:rsidRDefault="00000000" w:rsidRPr="00000000" w14:paraId="00000173">
      <w:pPr>
        <w:ind w:firstLine="284"/>
        <w:rPr>
          <w:vertAlign w:val="baseline"/>
        </w:rPr>
      </w:pPr>
      <w:r w:rsidDel="00000000" w:rsidR="00000000" w:rsidRPr="00000000">
        <w:rPr>
          <w:vertAlign w:val="baseline"/>
          <w:rtl w:val="0"/>
        </w:rPr>
        <w:t xml:space="preserve">Chỉ số MU ở kế hoạch xạ phẫu sử dụng kỹ thuật VMAT cho giá trị lớn gấp 2 lần so với kế hoạch xạ phẫu sử dụng kỹ thuật DCAT. Điều này cho thấy khi sử kỹ thuật DCAT thì thời gian phát tia giảm đáng kể so với kỹ thuật VMAT. Điều này phù hợp với nghiên cứu của Jan Hofmaier và các cộng sự năm 2019</w:t>
      </w:r>
      <w:r w:rsidDel="00000000" w:rsidR="00000000" w:rsidRPr="00000000">
        <w:rPr>
          <w:vertAlign w:val="superscript"/>
          <w:rtl w:val="0"/>
        </w:rPr>
        <w:t xml:space="preserve">[6] </w:t>
      </w:r>
      <w:r w:rsidDel="00000000" w:rsidR="00000000" w:rsidRPr="00000000">
        <w:rPr>
          <w:vertAlign w:val="baseline"/>
          <w:rtl w:val="0"/>
        </w:rPr>
        <w:t xml:space="preserve">và nguyên cứu của Isabelle Chambrelant và các cộng sự năm 2024</w:t>
      </w:r>
      <w:r w:rsidDel="00000000" w:rsidR="00000000" w:rsidRPr="00000000">
        <w:rPr>
          <w:vertAlign w:val="superscript"/>
          <w:rtl w:val="0"/>
        </w:rPr>
        <w:t xml:space="preserve">[7]</w:t>
      </w:r>
      <w:r w:rsidDel="00000000" w:rsidR="00000000" w:rsidRPr="00000000">
        <w:rPr>
          <w:vertAlign w:val="baseline"/>
          <w:rtl w:val="0"/>
        </w:rPr>
        <w:t xml:space="preserve">.</w:t>
      </w:r>
    </w:p>
    <w:p w:rsidR="00000000" w:rsidDel="00000000" w:rsidP="00000000" w:rsidRDefault="00000000" w:rsidRPr="00000000" w14:paraId="00000174">
      <w:pPr>
        <w:ind w:firstLine="284"/>
        <w:rPr>
          <w:vertAlign w:val="baseline"/>
        </w:rPr>
      </w:pPr>
      <w:r w:rsidDel="00000000" w:rsidR="00000000" w:rsidRPr="00000000">
        <w:rPr>
          <w:vertAlign w:val="baseline"/>
          <w:rtl w:val="0"/>
        </w:rPr>
        <w:t xml:space="preserve">Khi các cơ quan quý nằm gần kề PTV, kỹ thuật VMAT bảo vệ chúng hiệu quả hơn. Điều này giúp số kế hoạch VMAT đạt chuẩn cao hơn so với kế hoạch DCAT. Điều này cho thấy thể tích nhận 50% liều chỉ định của kế hoạch VMAT ít hơn so với kế hoạch DCAT, dẫn đến liều vào cơ quan quý giảm đi.</w:t>
      </w:r>
    </w:p>
    <w:p w:rsidR="00000000" w:rsidDel="00000000" w:rsidP="00000000" w:rsidRDefault="00000000" w:rsidRPr="00000000" w14:paraId="00000175">
      <w:pPr>
        <w:ind w:firstLine="284"/>
        <w:rPr>
          <w:vertAlign w:val="baseline"/>
        </w:rPr>
      </w:pPr>
      <w:r w:rsidDel="00000000" w:rsidR="00000000" w:rsidRPr="00000000">
        <w:rPr>
          <w:vertAlign w:val="baseline"/>
          <w:rtl w:val="0"/>
        </w:rPr>
        <w:t xml:space="preserve">Nghiên cứu của Isabelle Chambrelant và các cộng sự năm 2024 đã so sánh giữa hai kỹ thuật VMAT và DCAT trong điều trị di căn não đơn ổ trên 97 bệnh nhân</w:t>
      </w:r>
      <w:r w:rsidDel="00000000" w:rsidR="00000000" w:rsidRPr="00000000">
        <w:rPr>
          <w:vertAlign w:val="superscript"/>
          <w:rtl w:val="0"/>
        </w:rPr>
        <w:t xml:space="preserve">[7]</w:t>
      </w:r>
      <w:r w:rsidDel="00000000" w:rsidR="00000000" w:rsidRPr="00000000">
        <w:rPr>
          <w:vertAlign w:val="baseline"/>
          <w:rtl w:val="0"/>
        </w:rPr>
        <w:t xml:space="preserve">. Kết quả cho thấy kế hoạch VMAT cho chỉ số GI và CI gần giá trị lý tưởng (GI = 3 và 1 ≤ CI ≤ 1,2) hơn so với kế hoạch DCAT (3,31 ± 0,57 so với 2,48 ± 0,20 và 0,88 ± 0,05 so với 0,77 ± 0,05). Tương tự, vào năm 2021 tác giả Görkem TÜRKKAN và các cộng sự cũng nghiên cứu trên 21 bệnh nhân ung thư di căn não được lập kế hoạch xạ phẫu sử dụng kỹ thuật VMAT và kỹ thuật DCAT</w:t>
      </w:r>
      <w:r w:rsidDel="00000000" w:rsidR="00000000" w:rsidRPr="00000000">
        <w:rPr>
          <w:vertAlign w:val="superscript"/>
          <w:rtl w:val="0"/>
        </w:rPr>
        <w:t xml:space="preserve">[8]</w:t>
      </w:r>
      <w:r w:rsidDel="00000000" w:rsidR="00000000" w:rsidRPr="00000000">
        <w:rPr>
          <w:vertAlign w:val="baseline"/>
          <w:rtl w:val="0"/>
        </w:rPr>
        <w:t xml:space="preserve">. Kết quả là khi sử dụng kỹ thuật VMAT thì chỉ số CI nằm trong khoảng giá trị lý tưởng (1.21 ± 0.23 so với 1.78 ± 0.79) điều này cho thấy phân bố liều của kỹ thuật VMAT “ôm” sát bướu hơn. Về giá trị GI, giá trị cũng giảm (5.86 ± 2.57 so với 8.01 ± 4.89) giúp giảm liều vào não lành. Kết quả chỉ số GI và CI của nhóm tác giả đạt được lần lượt là 2,78 ± 0,08 so với 2,61 ± 0,05 và 1,25 ± 0,01 so với 1,42 ± 0,02.</w:t>
      </w:r>
    </w:p>
    <w:p w:rsidR="00000000" w:rsidDel="00000000" w:rsidP="00000000" w:rsidRDefault="00000000" w:rsidRPr="00000000" w14:paraId="00000176">
      <w:pPr>
        <w:rPr>
          <w:vertAlign w:val="baseline"/>
        </w:rPr>
      </w:pPr>
      <w:r w:rsidDel="00000000" w:rsidR="00000000" w:rsidRPr="00000000">
        <w:rPr>
          <w:vertAlign w:val="baseline"/>
          <w:rtl w:val="0"/>
        </w:rPr>
        <w:t xml:space="preserve">Như vậy, nghiên cứu của nhóm tác giả về vấn đề này hoàn toàn phù hợp với những nghiên cứu quốc tế những năm gần đây.</w:t>
      </w:r>
    </w:p>
    <w:p w:rsidR="00000000" w:rsidDel="00000000" w:rsidP="00000000" w:rsidRDefault="00000000" w:rsidRPr="00000000" w14:paraId="00000177">
      <w:pPr>
        <w:rPr>
          <w:vertAlign w:val="baseline"/>
        </w:rPr>
      </w:pPr>
      <w:r w:rsidDel="00000000" w:rsidR="00000000" w:rsidRPr="00000000">
        <w:rPr>
          <w:rtl w:val="0"/>
        </w:rPr>
      </w:r>
    </w:p>
    <w:p w:rsidR="00000000" w:rsidDel="00000000" w:rsidP="00000000" w:rsidRDefault="00000000" w:rsidRPr="00000000" w14:paraId="00000178">
      <w:pPr>
        <w:rPr>
          <w:b w:val="0"/>
          <w:vertAlign w:val="baseline"/>
        </w:rPr>
      </w:pPr>
      <w:r w:rsidDel="00000000" w:rsidR="00000000" w:rsidRPr="00000000">
        <w:rPr>
          <w:b w:val="1"/>
          <w:vertAlign w:val="baseline"/>
          <w:rtl w:val="0"/>
        </w:rPr>
        <w:t xml:space="preserve">V. KẾT LUẬN </w:t>
      </w:r>
      <w:r w:rsidDel="00000000" w:rsidR="00000000" w:rsidRPr="00000000">
        <w:rPr>
          <w:rtl w:val="0"/>
        </w:rPr>
      </w:r>
    </w:p>
    <w:p w:rsidR="00000000" w:rsidDel="00000000" w:rsidP="00000000" w:rsidRDefault="00000000" w:rsidRPr="00000000" w14:paraId="00000179">
      <w:pPr>
        <w:ind w:firstLine="360"/>
        <w:rPr>
          <w:vertAlign w:val="baseline"/>
        </w:rPr>
      </w:pPr>
      <w:r w:rsidDel="00000000" w:rsidR="00000000" w:rsidRPr="00000000">
        <w:rPr>
          <w:vertAlign w:val="baseline"/>
          <w:rtl w:val="0"/>
        </w:rPr>
        <w:t xml:space="preserve">Trong các kế hoạch xạ phẫu, kỹ thuật VMAT cho thấy sự phân bố liều tối ưu hơn so với kỹ thuật DCAT. Kế hoạch VMAT phù hợp với các thể tích điều trị lớn, có hình dạng không đồng đều, và khi có các cơ quan quý gần PTV</w:t>
      </w:r>
      <w:commentRangeStart w:id="6"/>
      <w:r w:rsidDel="00000000" w:rsidR="00000000" w:rsidRPr="00000000">
        <w:rPr>
          <w:vertAlign w:val="baseline"/>
          <w:rtl w:val="0"/>
        </w:rPr>
        <w:t xml:space="preserve">. Ngược lại, kế hoạch DCAT có lợi thế trong việc điều trị các thể tích nhỏ đến rất nhỏ, có hình dạng tương đối tròn đều, và khi cơ quan quý nằm xa PTV</w:t>
      </w:r>
      <w:commentRangeEnd w:id="6"/>
      <w:r w:rsidDel="00000000" w:rsidR="00000000" w:rsidRPr="00000000">
        <w:commentReference w:id="6"/>
      </w:r>
      <w:r w:rsidDel="00000000" w:rsidR="00000000" w:rsidRPr="00000000">
        <w:rPr>
          <w:vertAlign w:val="baseline"/>
          <w:rtl w:val="0"/>
        </w:rPr>
        <w:t xml:space="preserve">. Tuy nhiên, cần lưu ý rằng việc lựa chọn kế hoạch không chỉ dựa vào chỉ số MU mà còn phải đáp ứng đầy đủ các tiêu chí khác như liều vào bướu, các cơ quan lành (OARs), CI, HI, GI … </w:t>
      </w:r>
      <w:commentRangeStart w:id="7"/>
      <w:r w:rsidDel="00000000" w:rsidR="00000000" w:rsidRPr="00000000">
        <w:rPr>
          <w:vertAlign w:val="baseline"/>
          <w:rtl w:val="0"/>
        </w:rPr>
        <w:t xml:space="preserve">Nếu các tiêu chí này của cả hai kế hoạch đều được thoả mãn, thì kế hoạch nào có MU ít hơn sẽ được cân nhắc lựa chọn.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17A">
      <w:pPr>
        <w:rPr>
          <w:b w:val="0"/>
          <w:vertAlign w:val="baseline"/>
        </w:rPr>
      </w:pPr>
      <w:r w:rsidDel="00000000" w:rsidR="00000000" w:rsidRPr="00000000">
        <w:rPr>
          <w:b w:val="1"/>
          <w:vertAlign w:val="baseline"/>
          <w:rtl w:val="0"/>
        </w:rPr>
        <w:t xml:space="preserve">TÀI LIỆU THAM KHẢO</w:t>
      </w:r>
      <w:r w:rsidDel="00000000" w:rsidR="00000000" w:rsidRPr="00000000">
        <w:rPr>
          <w:rtl w:val="0"/>
        </w:rPr>
      </w:r>
    </w:p>
    <w:p w:rsidR="00000000" w:rsidDel="00000000" w:rsidP="00000000" w:rsidRDefault="00000000" w:rsidRPr="00000000" w14:paraId="0000017B">
      <w:pPr>
        <w:numPr>
          <w:ilvl w:val="0"/>
          <w:numId w:val="2"/>
        </w:numPr>
        <w:ind w:left="426" w:hanging="426"/>
        <w:rPr/>
      </w:pPr>
      <w:r w:rsidDel="00000000" w:rsidR="00000000" w:rsidRPr="00000000">
        <w:rPr>
          <w:b w:val="1"/>
          <w:vertAlign w:val="baseline"/>
          <w:rtl w:val="0"/>
        </w:rPr>
        <w:t xml:space="preserve">Orit Kaidar-Person et.al.</w:t>
      </w:r>
      <w:r w:rsidDel="00000000" w:rsidR="00000000" w:rsidRPr="00000000">
        <w:rPr>
          <w:vertAlign w:val="baseline"/>
          <w:rtl w:val="0"/>
        </w:rPr>
        <w:t xml:space="preserve"> (2018). Hypofractionated and Stereotactic Radiation Therapy - A Practical Guide, Springer International Publishing AG.</w:t>
      </w:r>
    </w:p>
    <w:p w:rsidR="00000000" w:rsidDel="00000000" w:rsidP="00000000" w:rsidRDefault="00000000" w:rsidRPr="00000000" w14:paraId="0000017C">
      <w:pPr>
        <w:numPr>
          <w:ilvl w:val="0"/>
          <w:numId w:val="2"/>
        </w:numPr>
        <w:ind w:left="426" w:hanging="426"/>
        <w:rPr/>
      </w:pPr>
      <w:r w:rsidDel="00000000" w:rsidR="00000000" w:rsidRPr="00000000">
        <w:rPr>
          <w:b w:val="1"/>
          <w:vertAlign w:val="baseline"/>
          <w:rtl w:val="0"/>
        </w:rPr>
        <w:t xml:space="preserve">Redmond et.al. </w:t>
      </w:r>
      <w:r w:rsidDel="00000000" w:rsidR="00000000" w:rsidRPr="00000000">
        <w:rPr>
          <w:vertAlign w:val="baseline"/>
          <w:rtl w:val="0"/>
        </w:rPr>
        <w:t xml:space="preserve">(2021). Tumor control probability of radiosurgery and fractionated stereotactic radiosurgery metastases, International for Journal brain of Radiation Oncology* Biology* Physics, 110(1), 53-67.</w:t>
      </w:r>
    </w:p>
    <w:p w:rsidR="00000000" w:rsidDel="00000000" w:rsidP="00000000" w:rsidRDefault="00000000" w:rsidRPr="00000000" w14:paraId="0000017D">
      <w:pPr>
        <w:numPr>
          <w:ilvl w:val="0"/>
          <w:numId w:val="2"/>
        </w:numPr>
        <w:ind w:left="426" w:hanging="426"/>
        <w:rPr/>
      </w:pPr>
      <w:r w:rsidDel="00000000" w:rsidR="00000000" w:rsidRPr="00000000">
        <w:rPr>
          <w:b w:val="1"/>
          <w:vertAlign w:val="baseline"/>
          <w:rtl w:val="0"/>
        </w:rPr>
        <w:t xml:space="preserve">M.Gérard et.al.</w:t>
      </w:r>
      <w:r w:rsidDel="00000000" w:rsidR="00000000" w:rsidRPr="00000000">
        <w:rPr>
          <w:vertAlign w:val="baseline"/>
          <w:rtl w:val="0"/>
        </w:rPr>
        <w:t xml:space="preserve"> (2017). Contraintes de dose en radiothérapie conformationnelle fractionnée et en radiothérapie stéréotaxique dans les hippocampes, le tronc cérébral et l’encéphale: limites et perspectives, Cancer Radiotherapie: Journal de la Societe Francaise de Radiotherapie Oncologique, 21(6-7):636-647.</w:t>
      </w:r>
    </w:p>
    <w:p w:rsidR="00000000" w:rsidDel="00000000" w:rsidP="00000000" w:rsidRDefault="00000000" w:rsidRPr="00000000" w14:paraId="0000017E">
      <w:pPr>
        <w:numPr>
          <w:ilvl w:val="0"/>
          <w:numId w:val="2"/>
        </w:numPr>
        <w:ind w:left="426" w:hanging="426"/>
        <w:rPr/>
      </w:pPr>
      <w:r w:rsidDel="00000000" w:rsidR="00000000" w:rsidRPr="00000000">
        <w:rPr>
          <w:b w:val="1"/>
          <w:vertAlign w:val="baseline"/>
          <w:rtl w:val="0"/>
        </w:rPr>
        <w:t xml:space="preserve">Edward Shaw et.al.</w:t>
      </w:r>
      <w:r w:rsidDel="00000000" w:rsidR="00000000" w:rsidRPr="00000000">
        <w:rPr>
          <w:vertAlign w:val="baseline"/>
          <w:rtl w:val="0"/>
        </w:rPr>
        <w:t xml:space="preserve"> (2000). Single dose radiosurgical treatment of recurrent previously irradiated primary brain tumors and brain metastases: final report of RTOG protocol 90-05, International Journal of Radiation Oncology* Biology* Physics, 47(2), 291-298.</w:t>
      </w:r>
    </w:p>
    <w:p w:rsidR="00000000" w:rsidDel="00000000" w:rsidP="00000000" w:rsidRDefault="00000000" w:rsidRPr="00000000" w14:paraId="0000017F">
      <w:pPr>
        <w:numPr>
          <w:ilvl w:val="0"/>
          <w:numId w:val="2"/>
        </w:numPr>
        <w:ind w:left="426" w:hanging="426"/>
        <w:rPr/>
      </w:pPr>
      <w:r w:rsidDel="00000000" w:rsidR="00000000" w:rsidRPr="00000000">
        <w:rPr>
          <w:b w:val="1"/>
          <w:vertAlign w:val="baseline"/>
          <w:rtl w:val="0"/>
        </w:rPr>
        <w:t xml:space="preserve">Souhami, et.al.</w:t>
      </w:r>
      <w:r w:rsidDel="00000000" w:rsidR="00000000" w:rsidRPr="00000000">
        <w:rPr>
          <w:vertAlign w:val="baseline"/>
          <w:rtl w:val="0"/>
        </w:rPr>
        <w:t xml:space="preserve"> (2004). Randomized comparison of stereotactic radiosurgery followed by conventional radiotherapy with carmustine to conventional radiotherapy with carmustine for patients with glioblastoma multiforme: report of Radiation Therapy Oncology Group 93-05 protocol, International Journal of Radiation Oncology* Biology* Physics, 60(3), 853-860.</w:t>
      </w:r>
    </w:p>
    <w:p w:rsidR="00000000" w:rsidDel="00000000" w:rsidP="00000000" w:rsidRDefault="00000000" w:rsidRPr="00000000" w14:paraId="00000180">
      <w:pPr>
        <w:numPr>
          <w:ilvl w:val="0"/>
          <w:numId w:val="2"/>
        </w:numPr>
        <w:ind w:left="426" w:hanging="426"/>
        <w:rPr/>
      </w:pPr>
      <w:r w:rsidDel="00000000" w:rsidR="00000000" w:rsidRPr="00000000">
        <w:rPr>
          <w:b w:val="1"/>
          <w:vertAlign w:val="baseline"/>
          <w:rtl w:val="0"/>
        </w:rPr>
        <w:t xml:space="preserve">J. Hofmaier et.al.</w:t>
      </w:r>
      <w:r w:rsidDel="00000000" w:rsidR="00000000" w:rsidRPr="00000000">
        <w:rPr>
          <w:vertAlign w:val="baseline"/>
          <w:rtl w:val="0"/>
        </w:rPr>
        <w:t xml:space="preserve"> (2019). Single isocenter stereotactic radiosurgery for patients with multiple brain metastases: dosimetric comparison of VMAT and a dedicated DCAT planning tool, Radiation Oncology, 14, 103.</w:t>
      </w:r>
    </w:p>
    <w:p w:rsidR="00000000" w:rsidDel="00000000" w:rsidP="00000000" w:rsidRDefault="00000000" w:rsidRPr="00000000" w14:paraId="00000181">
      <w:pPr>
        <w:numPr>
          <w:ilvl w:val="0"/>
          <w:numId w:val="2"/>
        </w:numPr>
        <w:ind w:left="426" w:hanging="426"/>
        <w:rPr/>
      </w:pPr>
      <w:r w:rsidDel="00000000" w:rsidR="00000000" w:rsidRPr="00000000">
        <w:rPr>
          <w:b w:val="1"/>
          <w:vertAlign w:val="baseline"/>
          <w:rtl w:val="0"/>
        </w:rPr>
        <w:t xml:space="preserve">Chambrelant et.al.</w:t>
      </w:r>
      <w:r w:rsidDel="00000000" w:rsidR="00000000" w:rsidRPr="00000000">
        <w:rPr>
          <w:vertAlign w:val="baseline"/>
          <w:rtl w:val="0"/>
        </w:rPr>
        <w:t xml:space="preserve"> (2024). Comparative study of dynamic conformal arc therapy and volumetric modulated arc therapy for treating single brain metastases: A retrospective analysis of dosimetric and clinical outcomes, Physics and Imaging in Radiation Oncology, 30: 100591.</w:t>
      </w:r>
    </w:p>
    <w:p w:rsidR="00000000" w:rsidDel="00000000" w:rsidP="00000000" w:rsidRDefault="00000000" w:rsidRPr="00000000" w14:paraId="00000182">
      <w:pPr>
        <w:numPr>
          <w:ilvl w:val="0"/>
          <w:numId w:val="2"/>
        </w:numPr>
        <w:ind w:left="426" w:hanging="426"/>
        <w:rPr/>
      </w:pPr>
      <w:r w:rsidDel="00000000" w:rsidR="00000000" w:rsidRPr="00000000">
        <w:rPr>
          <w:b w:val="1"/>
          <w:vertAlign w:val="baseline"/>
          <w:rtl w:val="0"/>
        </w:rPr>
        <w:t xml:space="preserve">G. Türkkan et.al. </w:t>
      </w:r>
      <w:r w:rsidDel="00000000" w:rsidR="00000000" w:rsidRPr="00000000">
        <w:rPr>
          <w:vertAlign w:val="baseline"/>
          <w:rtl w:val="0"/>
        </w:rPr>
        <w:t xml:space="preserve">(2022). Dosimetric Comparison of Volumetric-Modulated Arc Therapy and Dynamic Conformal Arc Therapy in Threefraction Single-isocenter Stereotactic Radiosurgery for Multiple Brain Metastases, Turkish Journal of Oncology, 37(1), 67–73</w:t>
      </w:r>
    </w:p>
    <w:p w:rsidR="00000000" w:rsidDel="00000000" w:rsidP="00000000" w:rsidRDefault="00000000" w:rsidRPr="00000000" w14:paraId="00000183">
      <w:pPr>
        <w:ind w:firstLine="284"/>
        <w:rPr>
          <w:vertAlign w:val="baseline"/>
        </w:rPr>
      </w:pPr>
      <w:r w:rsidDel="00000000" w:rsidR="00000000" w:rsidRPr="00000000">
        <w:rPr>
          <w:rtl w:val="0"/>
        </w:rPr>
      </w:r>
    </w:p>
    <w:p w:rsidR="00000000" w:rsidDel="00000000" w:rsidP="00000000" w:rsidRDefault="00000000" w:rsidRPr="00000000" w14:paraId="00000184">
      <w:pPr>
        <w:ind w:firstLine="284"/>
        <w:rPr>
          <w:vertAlign w:val="baseline"/>
        </w:rPr>
      </w:pPr>
      <w:r w:rsidDel="00000000" w:rsidR="00000000" w:rsidRPr="00000000">
        <w:rPr>
          <w:rtl w:val="0"/>
        </w:rPr>
      </w:r>
    </w:p>
    <w:p w:rsidR="00000000" w:rsidDel="00000000" w:rsidP="00000000" w:rsidRDefault="00000000" w:rsidRPr="00000000" w14:paraId="00000185">
      <w:pPr>
        <w:ind w:firstLine="284"/>
        <w:rPr>
          <w:vertAlign w:val="baseline"/>
        </w:rPr>
      </w:pPr>
      <w:r w:rsidDel="00000000" w:rsidR="00000000" w:rsidRPr="00000000">
        <w:rPr>
          <w:rtl w:val="0"/>
        </w:rPr>
      </w:r>
    </w:p>
    <w:sectPr>
      <w:pgSz w:h="16840" w:w="11907" w:orient="portrait"/>
      <w:pgMar w:bottom="1134" w:top="1418" w:left="1134" w:right="1134" w:header="1531" w:footer="1701"/>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xuan tran" w:id="4" w:date="1970-01-01T00:00:01Z">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Từ ý tưởng này có nên thường quy dùng kỹ thuật DCAT?</w:t>
      </w:r>
    </w:p>
  </w:comment>
  <w:comment w:author="xuan tran" w:id="5" w:date="1970-01-01T00:00:01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Thêm phần bàn luận về thời gian và số MU trong phần bàn luận của nghiên cứu và các nghiên cứu khác</w:t>
      </w:r>
    </w:p>
  </w:comment>
  <w:comment w:author="xuan tran" w:id="6" w:date="1970-01-01T00:00:01Z">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Phải chứng minh được điều này trong kết quả</w:t>
      </w:r>
    </w:p>
  </w:comment>
  <w:comment w:author="xuan tran" w:id="0" w:date="1970-01-01T00:00:01Z">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 nghiên cứu nào khuyến khích sử dụng DCAT trên thực tế lâm sàng không, xin cho tài liệu  tham khảo về vấn đề này để mục đích nghiên cứu có ý nghĩa và giải thích tại sao lâm sàng sử dụng VMAT mà vẫn muốn làm nghiên cứu so sánh</w:t>
      </w:r>
    </w:p>
  </w:comment>
  <w:comment w:author="xuan tran" w:id="1" w:date="1970-01-01T00:00:01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phân tầng thể thích và kích thước bướu cho thấy mức độ nhỏ, trung bình, to ...</w:t>
      </w:r>
    </w:p>
  </w:comment>
  <w:comment w:author="xuan tran" w:id="2" w:date="1970-01-01T00:00:01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có vị trí bướu so với thân não</w:t>
      </w:r>
    </w:p>
  </w:comment>
  <w:comment w:author="xuan tran" w:id="3" w:date="1970-01-01T00:00:01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Nên có bảng vị trí bướu (khoảng cách so với thân não )mới giải thích được con số này</w:t>
      </w:r>
    </w:p>
  </w:comment>
  <w:comment w:author="xuan tran" w:id="7" w:date="1970-01-01T00:00:01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Đưa vào phần khuyến cáo khi nào chọn lựa DCAT, VMAT,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b w:val="1"/>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jc w:val="both"/>
    </w:pPr>
    <w:rPr>
      <w:b w:val="1"/>
      <w:smallCaps w:val="1"/>
      <w:sz w:val="24"/>
      <w:szCs w:val="24"/>
      <w:vertAlign w:val="baseline"/>
    </w:rPr>
  </w:style>
  <w:style w:type="paragraph" w:styleId="Heading4">
    <w:name w:val="heading 4"/>
    <w:basedOn w:val="Normal"/>
    <w:next w:val="Normal"/>
    <w:pPr>
      <w:keepNext w:val="1"/>
      <w:keepLines w:val="1"/>
      <w:jc w:val="both"/>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jc w:val="both"/>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nguyenngochoai2k2@gmail.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37605f0fbf0e3b531de2fd58747b4e4dae62eb2997d67594c03e98ccdb6c0837</vt:lpwstr>
  </property>
</Properties>
</file>